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5D5B10">
      <w:pPr>
        <w:spacing w:after="0"/>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3657685D" w14:textId="0B08FDDD"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C7390E">
        <w:rPr>
          <w:rFonts w:ascii="Arial" w:hAnsi="Arial" w:cs="Arial"/>
          <w:i/>
          <w:sz w:val="28"/>
          <w:szCs w:val="28"/>
          <w:lang w:val="en-US"/>
        </w:rPr>
        <w:t>E</w:t>
      </w:r>
      <w:r w:rsidR="00524E1B">
        <w:rPr>
          <w:rFonts w:ascii="Arial" w:hAnsi="Arial" w:cs="Arial"/>
          <w:i/>
          <w:sz w:val="28"/>
          <w:szCs w:val="28"/>
        </w:rPr>
        <w:t>44</w:t>
      </w:r>
      <w:r w:rsidR="00B31046" w:rsidRPr="00BE672F">
        <w:rPr>
          <w:rFonts w:ascii="Arial" w:hAnsi="Arial" w:cs="Arial"/>
          <w:i/>
          <w:sz w:val="28"/>
          <w:szCs w:val="28"/>
        </w:rPr>
        <w:t>/201</w:t>
      </w:r>
      <w:r w:rsidR="00C7390E">
        <w:rPr>
          <w:rFonts w:ascii="Arial" w:hAnsi="Arial" w:cs="Arial"/>
          <w:i/>
          <w:sz w:val="28"/>
          <w:szCs w:val="28"/>
        </w:rPr>
        <w:t>7</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02105463" w:rsidR="005D5B10" w:rsidRDefault="007809E4" w:rsidP="005D5B10">
      <w:pPr>
        <w:spacing w:after="0"/>
        <w:jc w:val="center"/>
        <w:rPr>
          <w:rFonts w:ascii="Arial" w:hAnsi="Arial" w:cs="Arial"/>
          <w:sz w:val="28"/>
          <w:szCs w:val="28"/>
        </w:rPr>
      </w:pPr>
      <w:r>
        <w:rPr>
          <w:rFonts w:ascii="Arial" w:hAnsi="Arial" w:cs="Arial"/>
          <w:sz w:val="28"/>
          <w:szCs w:val="28"/>
        </w:rPr>
        <w:t xml:space="preserve"> </w:t>
      </w:r>
      <w:r w:rsidR="001B5DE1">
        <w:rPr>
          <w:rFonts w:ascii="Arial" w:hAnsi="Arial" w:cs="Arial"/>
          <w:sz w:val="28"/>
          <w:szCs w:val="28"/>
        </w:rPr>
        <w:t xml:space="preserve">28 </w:t>
      </w:r>
      <w:r>
        <w:rPr>
          <w:rFonts w:ascii="Arial" w:hAnsi="Arial" w:cs="Arial"/>
          <w:sz w:val="28"/>
          <w:szCs w:val="28"/>
        </w:rPr>
        <w:t>Σεπτεμβρίου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67CA4E1D" w14:textId="58A391E3" w:rsidR="005D5B10" w:rsidRPr="00B31046" w:rsidRDefault="00C7390E" w:rsidP="00524E1B">
      <w:pPr>
        <w:pStyle w:val="ListParagraph"/>
        <w:spacing w:after="0" w:line="360" w:lineRule="auto"/>
        <w:ind w:left="0"/>
        <w:jc w:val="center"/>
        <w:rPr>
          <w:rFonts w:ascii="Arial" w:hAnsi="Arial" w:cs="Arial"/>
          <w:sz w:val="28"/>
          <w:szCs w:val="28"/>
        </w:rPr>
      </w:pPr>
      <w:r>
        <w:rPr>
          <w:rFonts w:ascii="Arial" w:hAnsi="Arial" w:cs="Arial"/>
          <w:sz w:val="28"/>
          <w:szCs w:val="28"/>
          <w:lang w:val="en-US"/>
        </w:rPr>
        <w:t>ATHINAKIS</w:t>
      </w:r>
      <w:r w:rsidRPr="00C7390E">
        <w:rPr>
          <w:rFonts w:ascii="Arial" w:hAnsi="Arial" w:cs="Arial"/>
          <w:sz w:val="28"/>
          <w:szCs w:val="28"/>
        </w:rPr>
        <w:t xml:space="preserve"> &amp; </w:t>
      </w:r>
      <w:r>
        <w:rPr>
          <w:rFonts w:ascii="Arial" w:hAnsi="Arial" w:cs="Arial"/>
          <w:sz w:val="28"/>
          <w:szCs w:val="28"/>
          <w:lang w:val="en-US"/>
        </w:rPr>
        <w:t>PARTNERS</w:t>
      </w:r>
      <w:r w:rsidRPr="00C7390E">
        <w:rPr>
          <w:rFonts w:ascii="Arial" w:hAnsi="Arial" w:cs="Arial"/>
          <w:sz w:val="28"/>
          <w:szCs w:val="28"/>
        </w:rPr>
        <w:t xml:space="preserve"> (</w:t>
      </w:r>
      <w:r>
        <w:rPr>
          <w:rFonts w:ascii="Arial" w:hAnsi="Arial" w:cs="Arial"/>
          <w:sz w:val="28"/>
          <w:szCs w:val="28"/>
        </w:rPr>
        <w:t>Σ 10758)</w:t>
      </w:r>
      <w:r w:rsidR="005D5B10" w:rsidRPr="00B31046">
        <w:rPr>
          <w:rFonts w:ascii="Arial" w:hAnsi="Arial" w:cs="Arial"/>
          <w:sz w:val="28"/>
          <w:szCs w:val="28"/>
        </w:rPr>
        <w:t>,</w:t>
      </w:r>
    </w:p>
    <w:p w14:paraId="5EAC864E" w14:textId="77777777" w:rsidR="00BE672F" w:rsidRDefault="00BE672F" w:rsidP="00BE672F">
      <w:pPr>
        <w:spacing w:after="0" w:line="360" w:lineRule="auto"/>
        <w:jc w:val="right"/>
        <w:rPr>
          <w:rFonts w:ascii="Arial" w:hAnsi="Arial" w:cs="Arial"/>
          <w:i/>
          <w:sz w:val="28"/>
          <w:szCs w:val="28"/>
        </w:rPr>
      </w:pPr>
    </w:p>
    <w:p w14:paraId="0BE29DA4" w14:textId="4B4F8546" w:rsidR="005D5B10" w:rsidRPr="00BE672F" w:rsidRDefault="005D5B10" w:rsidP="00BE672F">
      <w:pPr>
        <w:spacing w:after="0" w:line="360" w:lineRule="auto"/>
        <w:jc w:val="right"/>
        <w:rPr>
          <w:rFonts w:ascii="Arial" w:hAnsi="Arial" w:cs="Arial"/>
          <w:i/>
          <w:sz w:val="28"/>
          <w:szCs w:val="28"/>
        </w:rPr>
      </w:pPr>
      <w:r>
        <w:rPr>
          <w:rFonts w:ascii="Arial" w:hAnsi="Arial" w:cs="Arial"/>
          <w:i/>
          <w:sz w:val="28"/>
          <w:szCs w:val="28"/>
        </w:rPr>
        <w:t>Εφεσείοντες</w:t>
      </w:r>
      <w:r w:rsidR="00BE672F">
        <w:rPr>
          <w:rFonts w:ascii="Arial" w:hAnsi="Arial" w:cs="Arial"/>
          <w:i/>
          <w:sz w:val="28"/>
          <w:szCs w:val="28"/>
        </w:rPr>
        <w:t>,</w:t>
      </w:r>
    </w:p>
    <w:p w14:paraId="0FC65C1F" w14:textId="77777777" w:rsidR="005D5B10" w:rsidRPr="00BE672F" w:rsidRDefault="005D5B10" w:rsidP="00BE672F">
      <w:pPr>
        <w:spacing w:after="0" w:line="360" w:lineRule="auto"/>
        <w:jc w:val="right"/>
        <w:rPr>
          <w:rFonts w:ascii="Arial" w:hAnsi="Arial" w:cs="Arial"/>
          <w:i/>
          <w:sz w:val="28"/>
          <w:szCs w:val="28"/>
        </w:rPr>
      </w:pPr>
    </w:p>
    <w:p w14:paraId="7C5E5642" w14:textId="77777777" w:rsidR="005D5B10" w:rsidRPr="00BE672F" w:rsidRDefault="005D5B10" w:rsidP="00BE672F">
      <w:pPr>
        <w:spacing w:after="0" w:line="360" w:lineRule="auto"/>
        <w:jc w:val="center"/>
        <w:rPr>
          <w:rFonts w:ascii="Arial" w:hAnsi="Arial" w:cs="Arial"/>
          <w:sz w:val="28"/>
          <w:szCs w:val="28"/>
        </w:rPr>
      </w:pPr>
      <w:r>
        <w:rPr>
          <w:rFonts w:ascii="Arial" w:hAnsi="Arial" w:cs="Arial"/>
          <w:sz w:val="28"/>
          <w:szCs w:val="28"/>
        </w:rPr>
        <w:t>ν</w:t>
      </w:r>
      <w:r w:rsidRPr="00BE672F">
        <w:rPr>
          <w:rFonts w:ascii="Arial" w:hAnsi="Arial" w:cs="Arial"/>
          <w:sz w:val="28"/>
          <w:szCs w:val="28"/>
        </w:rPr>
        <w:t>.</w:t>
      </w:r>
    </w:p>
    <w:p w14:paraId="4A202C85" w14:textId="77777777" w:rsidR="005D5B10" w:rsidRPr="00BE672F" w:rsidRDefault="005D5B10" w:rsidP="00BE672F">
      <w:pPr>
        <w:spacing w:after="0" w:line="360" w:lineRule="auto"/>
        <w:jc w:val="center"/>
        <w:rPr>
          <w:rFonts w:ascii="Arial" w:hAnsi="Arial" w:cs="Arial"/>
          <w:sz w:val="28"/>
          <w:szCs w:val="28"/>
        </w:rPr>
      </w:pPr>
    </w:p>
    <w:p w14:paraId="4F58BE9C" w14:textId="5B6FC3BD" w:rsidR="005D5B10" w:rsidRDefault="00C7390E" w:rsidP="00C7390E">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 xml:space="preserve"> ΣΤΕΛΙΟΣ ΚΑΛΟΠΑΙΔΗ</w:t>
      </w:r>
      <w:r w:rsidR="00BE672F" w:rsidRPr="00C7390E">
        <w:rPr>
          <w:rFonts w:ascii="Arial" w:hAnsi="Arial" w:cs="Arial"/>
          <w:sz w:val="28"/>
          <w:szCs w:val="28"/>
        </w:rPr>
        <w:t>,</w:t>
      </w:r>
    </w:p>
    <w:p w14:paraId="69B5194D" w14:textId="70CFF93E" w:rsidR="00C7390E" w:rsidRPr="00C7390E" w:rsidRDefault="00C7390E" w:rsidP="00C7390E">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 xml:space="preserve"> ΕΛΕΝΗΣ ΚΑΛΟΠΑΙΔΗ,</w:t>
      </w:r>
    </w:p>
    <w:p w14:paraId="55112160" w14:textId="77777777" w:rsidR="005D5B10" w:rsidRDefault="005D5B10" w:rsidP="00BE672F">
      <w:pPr>
        <w:spacing w:after="0" w:line="360" w:lineRule="auto"/>
        <w:jc w:val="center"/>
        <w:rPr>
          <w:rFonts w:ascii="Arial" w:hAnsi="Arial" w:cs="Arial"/>
          <w:sz w:val="28"/>
          <w:szCs w:val="28"/>
        </w:rPr>
      </w:pPr>
    </w:p>
    <w:p w14:paraId="0D3A4A34" w14:textId="323884B7" w:rsidR="005D5B10"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994CFC">
        <w:rPr>
          <w:rFonts w:ascii="Arial" w:hAnsi="Arial" w:cs="Arial"/>
          <w:i/>
          <w:sz w:val="28"/>
          <w:szCs w:val="28"/>
        </w:rPr>
        <w:t>οι</w:t>
      </w:r>
      <w:r w:rsidR="00BE672F">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7759A3C9" w:rsidR="005D5B10" w:rsidRDefault="00C7390E" w:rsidP="00C7390E">
      <w:pPr>
        <w:spacing w:after="0" w:line="360" w:lineRule="auto"/>
        <w:ind w:left="270"/>
        <w:jc w:val="both"/>
        <w:rPr>
          <w:rFonts w:ascii="Arial" w:hAnsi="Arial" w:cs="Arial"/>
          <w:sz w:val="28"/>
          <w:szCs w:val="28"/>
        </w:rPr>
      </w:pPr>
      <w:r>
        <w:rPr>
          <w:rFonts w:ascii="Arial" w:hAnsi="Arial" w:cs="Arial"/>
          <w:i/>
          <w:sz w:val="28"/>
          <w:szCs w:val="28"/>
        </w:rPr>
        <w:t xml:space="preserve">Μ. Δημοσθένους για Π. Ν. </w:t>
      </w:r>
      <w:proofErr w:type="spellStart"/>
      <w:r>
        <w:rPr>
          <w:rFonts w:ascii="Arial" w:hAnsi="Arial" w:cs="Arial"/>
          <w:i/>
          <w:sz w:val="28"/>
          <w:szCs w:val="28"/>
        </w:rPr>
        <w:t>Κούρτελλος</w:t>
      </w:r>
      <w:proofErr w:type="spellEnd"/>
      <w:r>
        <w:rPr>
          <w:rFonts w:ascii="Arial" w:hAnsi="Arial" w:cs="Arial"/>
          <w:i/>
          <w:sz w:val="28"/>
          <w:szCs w:val="28"/>
        </w:rPr>
        <w:t xml:space="preserve"> &amp; Συνεργάτες Δ.Ε.Π.Ε.,</w:t>
      </w:r>
      <w:r w:rsidR="005D5B10">
        <w:rPr>
          <w:rFonts w:ascii="Arial" w:hAnsi="Arial" w:cs="Arial"/>
          <w:i/>
          <w:sz w:val="28"/>
          <w:szCs w:val="28"/>
        </w:rPr>
        <w:t xml:space="preserve"> </w:t>
      </w:r>
      <w:r w:rsidR="005D5B10">
        <w:rPr>
          <w:rFonts w:ascii="Arial" w:hAnsi="Arial" w:cs="Arial"/>
          <w:sz w:val="28"/>
          <w:szCs w:val="28"/>
        </w:rPr>
        <w:t xml:space="preserve">για τους Εφεσείοντες.  </w:t>
      </w:r>
    </w:p>
    <w:p w14:paraId="5B4F7D19" w14:textId="2C14BF43" w:rsidR="005D5B10" w:rsidRDefault="00C7390E" w:rsidP="00C7390E">
      <w:pPr>
        <w:spacing w:after="0" w:line="360" w:lineRule="auto"/>
        <w:ind w:left="270"/>
        <w:jc w:val="both"/>
        <w:rPr>
          <w:rFonts w:ascii="Arial" w:hAnsi="Arial" w:cs="Arial"/>
          <w:sz w:val="28"/>
          <w:szCs w:val="28"/>
        </w:rPr>
      </w:pPr>
      <w:r>
        <w:rPr>
          <w:rFonts w:ascii="Arial" w:hAnsi="Arial" w:cs="Arial"/>
          <w:i/>
          <w:iCs/>
          <w:sz w:val="28"/>
          <w:szCs w:val="28"/>
        </w:rPr>
        <w:t xml:space="preserve">Χ. Δημητρίου με Μ. </w:t>
      </w:r>
      <w:proofErr w:type="spellStart"/>
      <w:r>
        <w:rPr>
          <w:rFonts w:ascii="Arial" w:hAnsi="Arial" w:cs="Arial"/>
          <w:i/>
          <w:iCs/>
          <w:sz w:val="28"/>
          <w:szCs w:val="28"/>
        </w:rPr>
        <w:t>Τριγγίδου</w:t>
      </w:r>
      <w:proofErr w:type="spellEnd"/>
      <w:r>
        <w:rPr>
          <w:rFonts w:ascii="Arial" w:hAnsi="Arial" w:cs="Arial"/>
          <w:i/>
          <w:iCs/>
          <w:sz w:val="28"/>
          <w:szCs w:val="28"/>
        </w:rPr>
        <w:t xml:space="preserve"> (κα) για Χάρης Δ. Δημητρίου &amp; Σία Δ.Ε.Π.Ε.</w:t>
      </w:r>
      <w:r w:rsidR="00524E1B">
        <w:rPr>
          <w:rFonts w:ascii="Arial" w:hAnsi="Arial" w:cs="Arial"/>
          <w:i/>
          <w:iCs/>
          <w:sz w:val="28"/>
          <w:szCs w:val="28"/>
        </w:rPr>
        <w:t xml:space="preserve">, </w:t>
      </w:r>
      <w:r w:rsidR="005D5B10">
        <w:rPr>
          <w:rFonts w:ascii="Arial" w:hAnsi="Arial" w:cs="Arial"/>
          <w:sz w:val="28"/>
          <w:szCs w:val="28"/>
        </w:rPr>
        <w:t>για το</w:t>
      </w:r>
      <w:r>
        <w:rPr>
          <w:rFonts w:ascii="Arial" w:hAnsi="Arial" w:cs="Arial"/>
          <w:sz w:val="28"/>
          <w:szCs w:val="28"/>
        </w:rPr>
        <w:t>υς</w:t>
      </w:r>
      <w:r w:rsidR="00524E1B">
        <w:rPr>
          <w:rFonts w:ascii="Arial" w:hAnsi="Arial" w:cs="Arial"/>
          <w:sz w:val="28"/>
          <w:szCs w:val="28"/>
        </w:rPr>
        <w:t xml:space="preserve"> Εφεσίβλητο</w:t>
      </w:r>
      <w:r>
        <w:rPr>
          <w:rFonts w:ascii="Arial" w:hAnsi="Arial" w:cs="Arial"/>
          <w:sz w:val="28"/>
          <w:szCs w:val="28"/>
        </w:rPr>
        <w:t>υς</w:t>
      </w:r>
      <w:r w:rsidR="005D5B10">
        <w:rPr>
          <w:rFonts w:ascii="Arial" w:hAnsi="Arial" w:cs="Arial"/>
          <w:sz w:val="28"/>
          <w:szCs w:val="28"/>
        </w:rPr>
        <w:t>.</w:t>
      </w: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6547A665" w:rsidR="005D5B10" w:rsidRDefault="005D5B10" w:rsidP="005D5B10">
      <w:pPr>
        <w:spacing w:after="0"/>
        <w:jc w:val="center"/>
        <w:rPr>
          <w:rFonts w:ascii="Arial" w:hAnsi="Arial" w:cs="Arial"/>
          <w:sz w:val="28"/>
          <w:szCs w:val="28"/>
        </w:rPr>
      </w:pPr>
    </w:p>
    <w:p w14:paraId="71393199" w14:textId="00545719" w:rsidR="005D5B10" w:rsidRDefault="005D5B10" w:rsidP="00524E1B">
      <w:pPr>
        <w:spacing w:after="0" w:line="480" w:lineRule="auto"/>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3A30A102" w14:textId="77777777" w:rsidR="005D5B10" w:rsidRDefault="005D5B10" w:rsidP="00524E1B">
      <w:pPr>
        <w:spacing w:after="0" w:line="480" w:lineRule="auto"/>
        <w:jc w:val="center"/>
        <w:rPr>
          <w:rFonts w:ascii="Arial" w:hAnsi="Arial" w:cs="Arial"/>
          <w:sz w:val="28"/>
          <w:szCs w:val="28"/>
        </w:rPr>
      </w:pPr>
      <w:r>
        <w:rPr>
          <w:rFonts w:ascii="Arial" w:hAnsi="Arial" w:cs="Arial"/>
          <w:sz w:val="28"/>
          <w:szCs w:val="28"/>
        </w:rPr>
        <w:t>____________________</w:t>
      </w:r>
    </w:p>
    <w:p w14:paraId="6A738DD0" w14:textId="77777777" w:rsidR="005D5B10" w:rsidRDefault="005D5B10" w:rsidP="00524E1B">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1D06406D" w14:textId="77777777" w:rsidR="005D5B10" w:rsidRDefault="005D5B10" w:rsidP="00994CFC">
      <w:pPr>
        <w:spacing w:after="0"/>
        <w:rPr>
          <w:rFonts w:ascii="Arial" w:hAnsi="Arial" w:cs="Arial"/>
          <w:b/>
          <w:sz w:val="28"/>
          <w:szCs w:val="28"/>
        </w:rPr>
      </w:pPr>
    </w:p>
    <w:p w14:paraId="32FA49DB" w14:textId="36552A64" w:rsidR="00875559"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Pr="00994CFC">
        <w:rPr>
          <w:rFonts w:ascii="Arial" w:hAnsi="Arial" w:cs="Arial"/>
          <w:b/>
          <w:sz w:val="28"/>
          <w:szCs w:val="28"/>
        </w:rPr>
        <w:t>.:</w:t>
      </w:r>
      <w:r w:rsidR="00994CFC" w:rsidRPr="00994CFC">
        <w:rPr>
          <w:rFonts w:ascii="Arial" w:hAnsi="Arial" w:cs="Arial"/>
          <w:b/>
          <w:sz w:val="28"/>
          <w:szCs w:val="28"/>
        </w:rPr>
        <w:t xml:space="preserve"> </w:t>
      </w:r>
      <w:r w:rsidR="00994CFC" w:rsidRPr="00994CFC">
        <w:rPr>
          <w:rFonts w:ascii="Arial" w:hAnsi="Arial" w:cs="Arial"/>
          <w:bCs/>
          <w:sz w:val="28"/>
          <w:szCs w:val="28"/>
        </w:rPr>
        <w:t xml:space="preserve"> </w:t>
      </w:r>
      <w:r w:rsidR="00B3481A" w:rsidRPr="00994CFC">
        <w:rPr>
          <w:rFonts w:ascii="Arial" w:hAnsi="Arial" w:cs="Arial"/>
          <w:bCs/>
          <w:sz w:val="28"/>
          <w:szCs w:val="28"/>
        </w:rPr>
        <w:t xml:space="preserve"> </w:t>
      </w:r>
      <w:r w:rsidR="00994CFC" w:rsidRPr="00994CFC">
        <w:rPr>
          <w:rFonts w:ascii="Arial" w:hAnsi="Arial" w:cs="Arial"/>
          <w:bCs/>
          <w:sz w:val="28"/>
          <w:szCs w:val="28"/>
        </w:rPr>
        <w:t>Οι</w:t>
      </w:r>
      <w:r w:rsidR="00994CFC">
        <w:rPr>
          <w:rFonts w:ascii="Arial" w:hAnsi="Arial" w:cs="Arial"/>
          <w:bCs/>
          <w:sz w:val="28"/>
          <w:szCs w:val="28"/>
        </w:rPr>
        <w:t xml:space="preserve"> Εφεσίβλητοι καταχώρισαν αγωγή εναντίον των Εφεσείοντων και μιας εταιρείας, αξιώνοντας αποζημιώσεις αναφορικά με ζημιές που υπέστηκαν από την αποκόλληση και κατάρρευση ενός τοίχου και άλλες ζημιές σε κατοικία τους.  Η κατοικία είχε ανεγερθεί από την</w:t>
      </w:r>
      <w:r w:rsidR="006679A0">
        <w:rPr>
          <w:rFonts w:ascii="Arial" w:hAnsi="Arial" w:cs="Arial"/>
          <w:bCs/>
          <w:sz w:val="28"/>
          <w:szCs w:val="28"/>
        </w:rPr>
        <w:t xml:space="preserve"> προαναφερόμενη εταιρεία, εγγεγραμμένη εργολήπτρια, υπό την επίβλεψη των Εφεσείοντων αρχιτεκτόνων – πολιτικών μηχανικών.</w:t>
      </w:r>
    </w:p>
    <w:p w14:paraId="73F9851E" w14:textId="77777777" w:rsidR="006679A0" w:rsidRDefault="006679A0" w:rsidP="00BE672F">
      <w:pPr>
        <w:spacing w:after="0" w:line="480" w:lineRule="auto"/>
        <w:ind w:firstLine="270"/>
        <w:jc w:val="both"/>
        <w:rPr>
          <w:rFonts w:ascii="Arial" w:hAnsi="Arial" w:cs="Arial"/>
          <w:bCs/>
          <w:sz w:val="28"/>
          <w:szCs w:val="28"/>
        </w:rPr>
      </w:pPr>
    </w:p>
    <w:p w14:paraId="0B463CD9" w14:textId="3CF6C762" w:rsidR="006679A0" w:rsidRDefault="006679A0" w:rsidP="00BE672F">
      <w:pPr>
        <w:spacing w:after="0" w:line="480" w:lineRule="auto"/>
        <w:ind w:firstLine="270"/>
        <w:jc w:val="both"/>
        <w:rPr>
          <w:rFonts w:ascii="Arial" w:hAnsi="Arial" w:cs="Arial"/>
          <w:bCs/>
          <w:sz w:val="28"/>
          <w:szCs w:val="28"/>
        </w:rPr>
      </w:pPr>
      <w:r>
        <w:rPr>
          <w:rFonts w:ascii="Arial" w:hAnsi="Arial" w:cs="Arial"/>
          <w:bCs/>
          <w:sz w:val="28"/>
          <w:szCs w:val="28"/>
        </w:rPr>
        <w:t>Στο σώμα της αγωγής οι</w:t>
      </w:r>
      <w:r w:rsidRPr="006679A0">
        <w:rPr>
          <w:rFonts w:ascii="Arial" w:hAnsi="Arial" w:cs="Arial"/>
          <w:bCs/>
          <w:sz w:val="28"/>
          <w:szCs w:val="28"/>
        </w:rPr>
        <w:t xml:space="preserve"> </w:t>
      </w:r>
      <w:r>
        <w:rPr>
          <w:rFonts w:ascii="Arial" w:hAnsi="Arial" w:cs="Arial"/>
          <w:bCs/>
          <w:sz w:val="28"/>
          <w:szCs w:val="28"/>
        </w:rPr>
        <w:t xml:space="preserve">Εφεσίβλητοι </w:t>
      </w:r>
      <w:proofErr w:type="spellStart"/>
      <w:r>
        <w:rPr>
          <w:rFonts w:ascii="Arial" w:hAnsi="Arial" w:cs="Arial"/>
          <w:bCs/>
          <w:sz w:val="28"/>
          <w:szCs w:val="28"/>
        </w:rPr>
        <w:t>δικογραφούσαν</w:t>
      </w:r>
      <w:proofErr w:type="spellEnd"/>
      <w:r>
        <w:rPr>
          <w:rFonts w:ascii="Arial" w:hAnsi="Arial" w:cs="Arial"/>
          <w:bCs/>
          <w:sz w:val="28"/>
          <w:szCs w:val="28"/>
        </w:rPr>
        <w:t xml:space="preserve"> ότι οι ζημιές προκλήθηκαν εξαιτίας της μη συμμόρφωσης της εταιρείας με τους όρους της συμφωνίας τους για την ανέγερση της κατοικίας και αμελούς εκτέλεσης των καθηκόντων της και/ή εξαιτίας της αμελούς επίβλεψης </w:t>
      </w:r>
      <w:r w:rsidR="009B31B3">
        <w:rPr>
          <w:rFonts w:ascii="Arial" w:hAnsi="Arial" w:cs="Arial"/>
          <w:bCs/>
          <w:sz w:val="28"/>
          <w:szCs w:val="28"/>
        </w:rPr>
        <w:t>της εταιρείας</w:t>
      </w:r>
      <w:r w:rsidR="00243ECA" w:rsidRPr="00243ECA">
        <w:rPr>
          <w:rFonts w:ascii="Arial" w:hAnsi="Arial" w:cs="Arial"/>
          <w:bCs/>
          <w:sz w:val="28"/>
          <w:szCs w:val="28"/>
        </w:rPr>
        <w:t xml:space="preserve"> </w:t>
      </w:r>
      <w:r w:rsidR="005C714A">
        <w:rPr>
          <w:rFonts w:ascii="Arial" w:hAnsi="Arial" w:cs="Arial"/>
          <w:bCs/>
          <w:sz w:val="28"/>
          <w:szCs w:val="28"/>
        </w:rPr>
        <w:t xml:space="preserve">από του Εφεσείοντες.  </w:t>
      </w:r>
      <w:proofErr w:type="spellStart"/>
      <w:r w:rsidR="005C714A">
        <w:rPr>
          <w:rFonts w:ascii="Arial" w:hAnsi="Arial" w:cs="Arial"/>
          <w:bCs/>
          <w:sz w:val="28"/>
          <w:szCs w:val="28"/>
        </w:rPr>
        <w:t>Δικογραφούνταν</w:t>
      </w:r>
      <w:proofErr w:type="spellEnd"/>
      <w:r w:rsidR="005C714A">
        <w:rPr>
          <w:rFonts w:ascii="Arial" w:hAnsi="Arial" w:cs="Arial"/>
          <w:bCs/>
          <w:sz w:val="28"/>
          <w:szCs w:val="28"/>
        </w:rPr>
        <w:t xml:space="preserve"> ξεχωριστές λεπτομέρειες αμέλειας και παράβασης εκ του νόμου και κανονισμών καθηκόντων της εταιρείας και των</w:t>
      </w:r>
      <w:r w:rsidR="005C714A" w:rsidRPr="005C714A">
        <w:rPr>
          <w:rFonts w:ascii="Arial" w:hAnsi="Arial" w:cs="Arial"/>
          <w:bCs/>
          <w:sz w:val="28"/>
          <w:szCs w:val="28"/>
        </w:rPr>
        <w:t xml:space="preserve"> </w:t>
      </w:r>
      <w:r w:rsidR="005C714A">
        <w:rPr>
          <w:rFonts w:ascii="Arial" w:hAnsi="Arial" w:cs="Arial"/>
          <w:bCs/>
          <w:sz w:val="28"/>
          <w:szCs w:val="28"/>
        </w:rPr>
        <w:t>Εφεσείοντων</w:t>
      </w:r>
      <w:r w:rsidR="00243ECA">
        <w:rPr>
          <w:rFonts w:ascii="Arial" w:hAnsi="Arial" w:cs="Arial"/>
          <w:bCs/>
          <w:sz w:val="28"/>
          <w:szCs w:val="28"/>
        </w:rPr>
        <w:t>, προσθέτοντας για τους τελευταίους και παράλειψη να δώσουν στην εταιρεία τις δέουσες οδηγίες</w:t>
      </w:r>
      <w:r w:rsidR="005C714A">
        <w:rPr>
          <w:rFonts w:ascii="Arial" w:hAnsi="Arial" w:cs="Arial"/>
          <w:bCs/>
          <w:sz w:val="28"/>
          <w:szCs w:val="28"/>
        </w:rPr>
        <w:t xml:space="preserve">.  Στο παρακλητικό </w:t>
      </w:r>
      <w:r w:rsidR="009B31B3">
        <w:rPr>
          <w:rFonts w:ascii="Arial" w:hAnsi="Arial" w:cs="Arial"/>
          <w:bCs/>
          <w:sz w:val="28"/>
          <w:szCs w:val="28"/>
        </w:rPr>
        <w:t>καταγραφόταν</w:t>
      </w:r>
      <w:r w:rsidR="005C714A">
        <w:rPr>
          <w:rFonts w:ascii="Arial" w:hAnsi="Arial" w:cs="Arial"/>
          <w:bCs/>
          <w:sz w:val="28"/>
          <w:szCs w:val="28"/>
        </w:rPr>
        <w:t xml:space="preserve"> ότι οι Εφεσίβλητοι «</w:t>
      </w:r>
      <w:r w:rsidR="005C714A" w:rsidRPr="005C714A">
        <w:rPr>
          <w:rFonts w:ascii="Arial" w:hAnsi="Arial" w:cs="Arial"/>
          <w:bCs/>
          <w:i/>
          <w:iCs/>
          <w:sz w:val="28"/>
          <w:szCs w:val="28"/>
        </w:rPr>
        <w:t>ΑΞΙΩΝΟΥΝ ΑΠΟ ΤΟΥΣ ΕΝΑΓΟΜΕΝΟΥΣ 1 ΚΑΙ/Ή 2 ΑΛΛΗΛΕΓΓΥΑ ΚΑΙ/Ή ΚΕΧΩΡΙΣΜΕΝΑ:</w:t>
      </w:r>
      <w:r w:rsidR="005C714A">
        <w:rPr>
          <w:rFonts w:ascii="Arial" w:hAnsi="Arial" w:cs="Arial"/>
          <w:bCs/>
          <w:sz w:val="28"/>
          <w:szCs w:val="28"/>
        </w:rPr>
        <w:t xml:space="preserve">» </w:t>
      </w:r>
      <w:r w:rsidR="00283EAF">
        <w:rPr>
          <w:rFonts w:ascii="Arial" w:hAnsi="Arial" w:cs="Arial"/>
          <w:bCs/>
          <w:sz w:val="28"/>
          <w:szCs w:val="28"/>
        </w:rPr>
        <w:t xml:space="preserve">το σύνολο των </w:t>
      </w:r>
      <w:r w:rsidR="00283EAF">
        <w:rPr>
          <w:rFonts w:ascii="Arial" w:hAnsi="Arial" w:cs="Arial"/>
          <w:bCs/>
          <w:sz w:val="28"/>
          <w:szCs w:val="28"/>
        </w:rPr>
        <w:lastRenderedPageBreak/>
        <w:t>αποζημιώσεων που απαιτούσαν</w:t>
      </w:r>
      <w:r w:rsidR="00243ECA">
        <w:rPr>
          <w:rFonts w:ascii="Arial" w:hAnsi="Arial" w:cs="Arial"/>
          <w:bCs/>
          <w:sz w:val="28"/>
          <w:szCs w:val="28"/>
        </w:rPr>
        <w:t>, δηλαδή ποσό</w:t>
      </w:r>
      <w:r w:rsidR="009B31B3">
        <w:rPr>
          <w:rFonts w:ascii="Arial" w:hAnsi="Arial" w:cs="Arial"/>
          <w:bCs/>
          <w:sz w:val="28"/>
          <w:szCs w:val="28"/>
        </w:rPr>
        <w:t xml:space="preserve"> €69.840 </w:t>
      </w:r>
      <w:r w:rsidR="00243ECA">
        <w:rPr>
          <w:rFonts w:ascii="Arial" w:hAnsi="Arial" w:cs="Arial"/>
          <w:bCs/>
          <w:sz w:val="28"/>
          <w:szCs w:val="28"/>
        </w:rPr>
        <w:t>με νόμιμο τόκο και γενικές αποζημιώσεις για την ταλαιπωρία τους</w:t>
      </w:r>
      <w:r w:rsidR="00283EAF">
        <w:rPr>
          <w:rFonts w:ascii="Arial" w:hAnsi="Arial" w:cs="Arial"/>
          <w:bCs/>
          <w:sz w:val="28"/>
          <w:szCs w:val="28"/>
        </w:rPr>
        <w:t>.</w:t>
      </w:r>
    </w:p>
    <w:p w14:paraId="6D933FC4" w14:textId="77777777" w:rsidR="005C714A" w:rsidRDefault="005C714A" w:rsidP="00BE672F">
      <w:pPr>
        <w:spacing w:after="0" w:line="480" w:lineRule="auto"/>
        <w:ind w:firstLine="270"/>
        <w:jc w:val="both"/>
        <w:rPr>
          <w:rFonts w:ascii="Arial" w:hAnsi="Arial" w:cs="Arial"/>
          <w:bCs/>
          <w:sz w:val="28"/>
          <w:szCs w:val="28"/>
        </w:rPr>
      </w:pPr>
    </w:p>
    <w:p w14:paraId="59CC469A" w14:textId="4AD76639" w:rsidR="0025723F" w:rsidRDefault="0025723F" w:rsidP="00BE672F">
      <w:pPr>
        <w:spacing w:after="0" w:line="480" w:lineRule="auto"/>
        <w:ind w:firstLine="270"/>
        <w:jc w:val="both"/>
        <w:rPr>
          <w:rFonts w:ascii="Arial" w:hAnsi="Arial" w:cs="Arial"/>
          <w:bCs/>
          <w:sz w:val="28"/>
          <w:szCs w:val="28"/>
        </w:rPr>
      </w:pPr>
      <w:r>
        <w:rPr>
          <w:rFonts w:ascii="Arial" w:hAnsi="Arial" w:cs="Arial"/>
          <w:bCs/>
          <w:sz w:val="28"/>
          <w:szCs w:val="28"/>
        </w:rPr>
        <w:t>Οι Εφεσείοντες καταχώρισαν σημείωμα εμφάνισης</w:t>
      </w:r>
      <w:r w:rsidR="004B0683">
        <w:rPr>
          <w:rFonts w:ascii="Arial" w:hAnsi="Arial" w:cs="Arial"/>
          <w:bCs/>
          <w:sz w:val="28"/>
          <w:szCs w:val="28"/>
        </w:rPr>
        <w:t xml:space="preserve">  Η</w:t>
      </w:r>
      <w:r>
        <w:rPr>
          <w:rFonts w:ascii="Arial" w:hAnsi="Arial" w:cs="Arial"/>
          <w:bCs/>
          <w:sz w:val="28"/>
          <w:szCs w:val="28"/>
        </w:rPr>
        <w:t xml:space="preserve"> εταιρεία </w:t>
      </w:r>
      <w:r w:rsidR="004B0683">
        <w:rPr>
          <w:rFonts w:ascii="Arial" w:hAnsi="Arial" w:cs="Arial"/>
          <w:bCs/>
          <w:sz w:val="28"/>
          <w:szCs w:val="28"/>
        </w:rPr>
        <w:t xml:space="preserve">δεν καταχώρισε με αποτέλεσμα η υπόθεση εναντίον της να </w:t>
      </w:r>
      <w:r w:rsidR="001B5DE1">
        <w:rPr>
          <w:rFonts w:ascii="Arial" w:hAnsi="Arial" w:cs="Arial"/>
          <w:bCs/>
          <w:sz w:val="28"/>
          <w:szCs w:val="28"/>
        </w:rPr>
        <w:t>προχωρήσει σε απόδειξη</w:t>
      </w:r>
      <w:r w:rsidR="004B0683">
        <w:rPr>
          <w:rFonts w:ascii="Arial" w:hAnsi="Arial" w:cs="Arial"/>
          <w:bCs/>
          <w:sz w:val="28"/>
          <w:szCs w:val="28"/>
        </w:rPr>
        <w:t xml:space="preserve"> και να εκδοθεί τη</w:t>
      </w:r>
      <w:r>
        <w:rPr>
          <w:rFonts w:ascii="Arial" w:hAnsi="Arial" w:cs="Arial"/>
          <w:bCs/>
          <w:sz w:val="28"/>
          <w:szCs w:val="28"/>
        </w:rPr>
        <w:t xml:space="preserve">ν 28.1.2016 απόφαση εναντίον της, στην απουσία της, για το ποσό </w:t>
      </w:r>
      <w:r w:rsidR="009B31B3">
        <w:rPr>
          <w:rFonts w:ascii="Arial" w:hAnsi="Arial" w:cs="Arial"/>
          <w:bCs/>
          <w:sz w:val="28"/>
          <w:szCs w:val="28"/>
        </w:rPr>
        <w:t xml:space="preserve">των €69.840 με νόμιμο τόκο.  </w:t>
      </w:r>
      <w:r w:rsidR="00F5282C">
        <w:rPr>
          <w:rFonts w:ascii="Arial" w:hAnsi="Arial" w:cs="Arial"/>
          <w:bCs/>
          <w:sz w:val="28"/>
          <w:szCs w:val="28"/>
        </w:rPr>
        <w:t>Στη βάση αυτής της εξέλιξης, οι</w:t>
      </w:r>
      <w:r w:rsidR="00F5282C" w:rsidRPr="00F5282C">
        <w:rPr>
          <w:rFonts w:ascii="Arial" w:hAnsi="Arial" w:cs="Arial"/>
          <w:bCs/>
          <w:sz w:val="28"/>
          <w:szCs w:val="28"/>
        </w:rPr>
        <w:t xml:space="preserve"> </w:t>
      </w:r>
      <w:r w:rsidR="00F5282C">
        <w:rPr>
          <w:rFonts w:ascii="Arial" w:hAnsi="Arial" w:cs="Arial"/>
          <w:bCs/>
          <w:sz w:val="28"/>
          <w:szCs w:val="28"/>
        </w:rPr>
        <w:t xml:space="preserve">Εφεσείοντες αιτήθηκαν την απόρριψη, τον παραμερισμό ή την αναστολή της αγωγής εναντίον </w:t>
      </w:r>
      <w:r w:rsidR="00BF4DF4">
        <w:rPr>
          <w:rFonts w:ascii="Arial" w:hAnsi="Arial" w:cs="Arial"/>
          <w:bCs/>
          <w:sz w:val="28"/>
          <w:szCs w:val="28"/>
        </w:rPr>
        <w:t xml:space="preserve">τους.  Η αίτηση τους απορρίφθηκε </w:t>
      </w:r>
      <w:r w:rsidR="004B0683">
        <w:rPr>
          <w:rFonts w:ascii="Arial" w:hAnsi="Arial" w:cs="Arial"/>
          <w:bCs/>
          <w:sz w:val="28"/>
          <w:szCs w:val="28"/>
        </w:rPr>
        <w:t>και ακολούθησε η</w:t>
      </w:r>
      <w:r w:rsidR="00BF4DF4">
        <w:rPr>
          <w:rFonts w:ascii="Arial" w:hAnsi="Arial" w:cs="Arial"/>
          <w:bCs/>
          <w:sz w:val="28"/>
          <w:szCs w:val="28"/>
        </w:rPr>
        <w:t xml:space="preserve"> παρούσα έφεση.</w:t>
      </w:r>
      <w:r w:rsidR="00F5282C">
        <w:rPr>
          <w:rFonts w:ascii="Arial" w:hAnsi="Arial" w:cs="Arial"/>
          <w:bCs/>
          <w:sz w:val="28"/>
          <w:szCs w:val="28"/>
        </w:rPr>
        <w:t xml:space="preserve"> </w:t>
      </w:r>
    </w:p>
    <w:p w14:paraId="5D6363A9" w14:textId="77777777" w:rsidR="00C02AA8" w:rsidRDefault="00C02AA8" w:rsidP="00BE672F">
      <w:pPr>
        <w:spacing w:after="0" w:line="480" w:lineRule="auto"/>
        <w:ind w:firstLine="270"/>
        <w:jc w:val="both"/>
        <w:rPr>
          <w:rFonts w:ascii="Arial" w:hAnsi="Arial" w:cs="Arial"/>
          <w:bCs/>
          <w:sz w:val="28"/>
          <w:szCs w:val="28"/>
        </w:rPr>
      </w:pPr>
    </w:p>
    <w:p w14:paraId="02FB5F4B" w14:textId="50ABBE3E" w:rsidR="0022075D" w:rsidRDefault="00C02AA8"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βασική θέση που </w:t>
      </w:r>
      <w:r w:rsidR="004B0683">
        <w:rPr>
          <w:rFonts w:ascii="Arial" w:hAnsi="Arial" w:cs="Arial"/>
          <w:bCs/>
          <w:sz w:val="28"/>
          <w:szCs w:val="28"/>
        </w:rPr>
        <w:t xml:space="preserve">οι Εφεσείοντες </w:t>
      </w:r>
      <w:r>
        <w:rPr>
          <w:rFonts w:ascii="Arial" w:hAnsi="Arial" w:cs="Arial"/>
          <w:bCs/>
          <w:sz w:val="28"/>
          <w:szCs w:val="28"/>
        </w:rPr>
        <w:t xml:space="preserve">προέβαλαν πρωτόδικα και υποστήριξαν και ενώπιον </w:t>
      </w:r>
      <w:r w:rsidR="009B31B3">
        <w:rPr>
          <w:rFonts w:ascii="Arial" w:hAnsi="Arial" w:cs="Arial"/>
          <w:bCs/>
          <w:sz w:val="28"/>
          <w:szCs w:val="28"/>
        </w:rPr>
        <w:t>μας,</w:t>
      </w:r>
      <w:r>
        <w:rPr>
          <w:rFonts w:ascii="Arial" w:hAnsi="Arial" w:cs="Arial"/>
          <w:bCs/>
          <w:sz w:val="28"/>
          <w:szCs w:val="28"/>
        </w:rPr>
        <w:t xml:space="preserve"> ήταν ότι η έκδοση απόφασης εναντίον της εταιρείας </w:t>
      </w:r>
      <w:r w:rsidR="009B31B3">
        <w:rPr>
          <w:rFonts w:ascii="Arial" w:hAnsi="Arial" w:cs="Arial"/>
          <w:bCs/>
          <w:sz w:val="28"/>
          <w:szCs w:val="28"/>
        </w:rPr>
        <w:t>«</w:t>
      </w:r>
      <w:r w:rsidRPr="009B31B3">
        <w:rPr>
          <w:rFonts w:ascii="Arial" w:hAnsi="Arial" w:cs="Arial"/>
          <w:bCs/>
          <w:i/>
          <w:iCs/>
          <w:sz w:val="28"/>
          <w:szCs w:val="28"/>
        </w:rPr>
        <w:t>για όλο το ποσό</w:t>
      </w:r>
      <w:r w:rsidR="009B31B3">
        <w:rPr>
          <w:rFonts w:ascii="Arial" w:hAnsi="Arial" w:cs="Arial"/>
          <w:bCs/>
          <w:sz w:val="28"/>
          <w:szCs w:val="28"/>
        </w:rPr>
        <w:t>»</w:t>
      </w:r>
      <w:r>
        <w:rPr>
          <w:rFonts w:ascii="Arial" w:hAnsi="Arial" w:cs="Arial"/>
          <w:bCs/>
          <w:sz w:val="28"/>
          <w:szCs w:val="28"/>
        </w:rPr>
        <w:t xml:space="preserve">, απάλλασσε τους ίδιους.  Και αυτό ακριβώς </w:t>
      </w:r>
      <w:r w:rsidR="009B31B3">
        <w:rPr>
          <w:rFonts w:ascii="Arial" w:hAnsi="Arial" w:cs="Arial"/>
          <w:bCs/>
          <w:sz w:val="28"/>
          <w:szCs w:val="28"/>
        </w:rPr>
        <w:t xml:space="preserve">γιατί </w:t>
      </w:r>
      <w:r>
        <w:rPr>
          <w:rFonts w:ascii="Arial" w:hAnsi="Arial" w:cs="Arial"/>
          <w:bCs/>
          <w:sz w:val="28"/>
          <w:szCs w:val="28"/>
        </w:rPr>
        <w:t>στο παρακλητικό της Έκθεσης Απαίτησης τους οι Εφεσίβλητοι δεν αξίωναν</w:t>
      </w:r>
      <w:r w:rsidR="009B31B3">
        <w:rPr>
          <w:rFonts w:ascii="Arial" w:hAnsi="Arial" w:cs="Arial"/>
          <w:bCs/>
          <w:sz w:val="28"/>
          <w:szCs w:val="28"/>
        </w:rPr>
        <w:t xml:space="preserve"> το ποσό</w:t>
      </w:r>
      <w:r>
        <w:rPr>
          <w:rFonts w:ascii="Arial" w:hAnsi="Arial" w:cs="Arial"/>
          <w:bCs/>
          <w:sz w:val="28"/>
          <w:szCs w:val="28"/>
        </w:rPr>
        <w:t xml:space="preserve"> εναντίον τους και της εταιρείας «</w:t>
      </w:r>
      <w:r w:rsidRPr="00C02AA8">
        <w:rPr>
          <w:rFonts w:ascii="Arial" w:hAnsi="Arial" w:cs="Arial"/>
          <w:bCs/>
          <w:i/>
          <w:iCs/>
          <w:sz w:val="28"/>
          <w:szCs w:val="28"/>
        </w:rPr>
        <w:t>αλληλέγγυα και κεχωρισμένα</w:t>
      </w:r>
      <w:r>
        <w:rPr>
          <w:rFonts w:ascii="Arial" w:hAnsi="Arial" w:cs="Arial"/>
          <w:bCs/>
          <w:sz w:val="28"/>
          <w:szCs w:val="28"/>
        </w:rPr>
        <w:t>», αλλά «</w:t>
      </w:r>
      <w:r>
        <w:rPr>
          <w:rFonts w:ascii="Arial" w:hAnsi="Arial" w:cs="Arial"/>
          <w:bCs/>
          <w:i/>
          <w:iCs/>
          <w:sz w:val="28"/>
          <w:szCs w:val="28"/>
        </w:rPr>
        <w:t>αλληλέγγυα και/ή κεχωρισμένα</w:t>
      </w:r>
      <w:r>
        <w:rPr>
          <w:rFonts w:ascii="Arial" w:hAnsi="Arial" w:cs="Arial"/>
          <w:bCs/>
          <w:sz w:val="28"/>
          <w:szCs w:val="28"/>
        </w:rPr>
        <w:t xml:space="preserve">».  </w:t>
      </w:r>
      <w:r w:rsidR="002C450D">
        <w:rPr>
          <w:rFonts w:ascii="Arial" w:hAnsi="Arial" w:cs="Arial"/>
          <w:bCs/>
          <w:sz w:val="28"/>
          <w:szCs w:val="28"/>
        </w:rPr>
        <w:t>Διατείνονται ότι η συνέπεια της αναφοράς στο παρακλητικό του «</w:t>
      </w:r>
      <w:r w:rsidR="002C450D" w:rsidRPr="002C450D">
        <w:rPr>
          <w:rFonts w:ascii="Arial" w:hAnsi="Arial" w:cs="Arial"/>
          <w:bCs/>
          <w:i/>
          <w:iCs/>
          <w:sz w:val="28"/>
          <w:szCs w:val="28"/>
        </w:rPr>
        <w:t>/ή</w:t>
      </w:r>
      <w:r w:rsidR="002C450D">
        <w:rPr>
          <w:rFonts w:ascii="Arial" w:hAnsi="Arial" w:cs="Arial"/>
          <w:bCs/>
          <w:sz w:val="28"/>
          <w:szCs w:val="28"/>
        </w:rPr>
        <w:t>» ήταν ότι οι Εφεσίβλητοι θεωρούσαν τους ιδίους και την εταιρεία υπεύθυνους «</w:t>
      </w:r>
      <w:r w:rsidR="002C450D" w:rsidRPr="002C450D">
        <w:rPr>
          <w:rFonts w:ascii="Arial" w:hAnsi="Arial" w:cs="Arial"/>
          <w:bCs/>
          <w:i/>
          <w:iCs/>
          <w:sz w:val="28"/>
          <w:szCs w:val="28"/>
        </w:rPr>
        <w:t>είτε από κοινού είτε χωριστά για την προκληθείσα ζημιά.  Δηλαδή είτε το ένα είτε το άλλο, όχι και τα δύο συγχρόνως</w:t>
      </w:r>
      <w:r w:rsidR="002C450D">
        <w:rPr>
          <w:rFonts w:ascii="Arial" w:hAnsi="Arial" w:cs="Arial"/>
          <w:bCs/>
          <w:sz w:val="28"/>
          <w:szCs w:val="28"/>
        </w:rPr>
        <w:t>».</w:t>
      </w:r>
      <w:r w:rsidR="002C450D" w:rsidRPr="002C450D">
        <w:rPr>
          <w:rFonts w:ascii="Arial" w:hAnsi="Arial" w:cs="Arial"/>
          <w:bCs/>
          <w:sz w:val="28"/>
          <w:szCs w:val="28"/>
        </w:rPr>
        <w:t xml:space="preserve"> </w:t>
      </w:r>
      <w:r w:rsidR="002C450D">
        <w:rPr>
          <w:rFonts w:ascii="Arial" w:hAnsi="Arial" w:cs="Arial"/>
          <w:bCs/>
          <w:sz w:val="28"/>
          <w:szCs w:val="28"/>
        </w:rPr>
        <w:t xml:space="preserve"> Έτσι, εφόσον εκδόθηκε απόφαση εναντίον της </w:t>
      </w:r>
      <w:r w:rsidR="002C450D">
        <w:rPr>
          <w:rFonts w:ascii="Arial" w:hAnsi="Arial" w:cs="Arial"/>
          <w:bCs/>
          <w:sz w:val="28"/>
          <w:szCs w:val="28"/>
        </w:rPr>
        <w:lastRenderedPageBreak/>
        <w:t>εταιρείας, «</w:t>
      </w:r>
      <w:r w:rsidR="002C450D">
        <w:rPr>
          <w:rFonts w:ascii="Arial" w:hAnsi="Arial" w:cs="Arial"/>
          <w:bCs/>
          <w:i/>
          <w:iCs/>
          <w:sz w:val="28"/>
          <w:szCs w:val="28"/>
        </w:rPr>
        <w:t>κεχωρισμένως</w:t>
      </w:r>
      <w:r w:rsidR="002C450D">
        <w:rPr>
          <w:rFonts w:ascii="Arial" w:hAnsi="Arial" w:cs="Arial"/>
          <w:bCs/>
          <w:sz w:val="28"/>
          <w:szCs w:val="28"/>
        </w:rPr>
        <w:t xml:space="preserve">» όπως αναφέρουν, οι ίδιοι δεν μπορούν να έχουν οιαδήποτε ευθύνη.  </w:t>
      </w:r>
    </w:p>
    <w:p w14:paraId="29AF4656" w14:textId="77777777" w:rsidR="009B31B3" w:rsidRDefault="009B31B3" w:rsidP="00BE672F">
      <w:pPr>
        <w:spacing w:after="0" w:line="480" w:lineRule="auto"/>
        <w:ind w:firstLine="270"/>
        <w:jc w:val="both"/>
        <w:rPr>
          <w:rFonts w:ascii="Arial" w:hAnsi="Arial" w:cs="Arial"/>
          <w:bCs/>
          <w:sz w:val="28"/>
          <w:szCs w:val="28"/>
        </w:rPr>
      </w:pPr>
    </w:p>
    <w:p w14:paraId="50347846" w14:textId="75F84455" w:rsidR="0022075D" w:rsidRDefault="0022075D" w:rsidP="00BE672F">
      <w:pPr>
        <w:spacing w:after="0" w:line="480" w:lineRule="auto"/>
        <w:ind w:firstLine="270"/>
        <w:jc w:val="both"/>
        <w:rPr>
          <w:rFonts w:ascii="Arial" w:hAnsi="Arial" w:cs="Arial"/>
          <w:bCs/>
          <w:sz w:val="28"/>
          <w:szCs w:val="28"/>
        </w:rPr>
      </w:pPr>
      <w:r>
        <w:rPr>
          <w:rFonts w:ascii="Arial" w:hAnsi="Arial" w:cs="Arial"/>
          <w:bCs/>
          <w:sz w:val="28"/>
          <w:szCs w:val="28"/>
        </w:rPr>
        <w:t>Προσβάλλουν ως εσφαλμένη την πρωτόδικη κρίση ότι η έκδοση της δικαστικής απόφασης εναντίον της εταιρείας «</w:t>
      </w:r>
      <w:r w:rsidRPr="0022075D">
        <w:rPr>
          <w:rFonts w:ascii="Arial" w:hAnsi="Arial" w:cs="Arial"/>
          <w:bCs/>
          <w:i/>
          <w:iCs/>
          <w:sz w:val="28"/>
          <w:szCs w:val="28"/>
        </w:rPr>
        <w:t>ουδόλως επηρεάζει το αγώγιμο δικαίωμα, τα έννομα συμφέροντα και γενικά το δικαίωμα</w:t>
      </w:r>
      <w:r>
        <w:rPr>
          <w:rFonts w:ascii="Arial" w:hAnsi="Arial" w:cs="Arial"/>
          <w:bCs/>
          <w:sz w:val="28"/>
          <w:szCs w:val="28"/>
        </w:rPr>
        <w:t xml:space="preserve">» των Εφεσίβλητων εναντίον τους, </w:t>
      </w:r>
      <w:r w:rsidR="009B31B3">
        <w:rPr>
          <w:rFonts w:ascii="Arial" w:hAnsi="Arial" w:cs="Arial"/>
          <w:bCs/>
          <w:sz w:val="28"/>
          <w:szCs w:val="28"/>
        </w:rPr>
        <w:t>που βασίστηκε στην</w:t>
      </w:r>
      <w:r>
        <w:rPr>
          <w:rFonts w:ascii="Arial" w:hAnsi="Arial" w:cs="Arial"/>
          <w:bCs/>
          <w:sz w:val="28"/>
          <w:szCs w:val="28"/>
        </w:rPr>
        <w:t xml:space="preserve"> εσφαλμένη ερμηνεία του ζητήματος της «</w:t>
      </w:r>
      <w:r>
        <w:rPr>
          <w:rFonts w:ascii="Arial" w:hAnsi="Arial" w:cs="Arial"/>
          <w:bCs/>
          <w:i/>
          <w:iCs/>
          <w:sz w:val="28"/>
          <w:szCs w:val="28"/>
        </w:rPr>
        <w:t xml:space="preserve">αλληλέγγυας και/ή </w:t>
      </w:r>
      <w:proofErr w:type="spellStart"/>
      <w:r>
        <w:rPr>
          <w:rFonts w:ascii="Arial" w:hAnsi="Arial" w:cs="Arial"/>
          <w:bCs/>
          <w:i/>
          <w:iCs/>
          <w:sz w:val="28"/>
          <w:szCs w:val="28"/>
        </w:rPr>
        <w:t>κεχωρισμένης</w:t>
      </w:r>
      <w:proofErr w:type="spellEnd"/>
      <w:r>
        <w:rPr>
          <w:rFonts w:ascii="Arial" w:hAnsi="Arial" w:cs="Arial"/>
          <w:bCs/>
          <w:i/>
          <w:iCs/>
          <w:sz w:val="28"/>
          <w:szCs w:val="28"/>
        </w:rPr>
        <w:t xml:space="preserve"> ευθύνης</w:t>
      </w:r>
      <w:r>
        <w:rPr>
          <w:rFonts w:ascii="Arial" w:hAnsi="Arial" w:cs="Arial"/>
          <w:bCs/>
          <w:sz w:val="28"/>
          <w:szCs w:val="28"/>
        </w:rPr>
        <w:t>» (λόγος έφεσης 1).  Περαιτέρω, διατείνονται ότι το πρωτόδικο Δικαστήριο εσφαλμένα αποφάσισε ότι η ευθύνη ή όχι των Εφεσείοντων θα τύγχαν</w:t>
      </w:r>
      <w:r w:rsidR="00E546A0">
        <w:rPr>
          <w:rFonts w:ascii="Arial" w:hAnsi="Arial" w:cs="Arial"/>
          <w:bCs/>
          <w:sz w:val="28"/>
          <w:szCs w:val="28"/>
        </w:rPr>
        <w:t>ε</w:t>
      </w:r>
      <w:r>
        <w:rPr>
          <w:rFonts w:ascii="Arial" w:hAnsi="Arial" w:cs="Arial"/>
          <w:bCs/>
          <w:sz w:val="28"/>
          <w:szCs w:val="28"/>
        </w:rPr>
        <w:t xml:space="preserve"> αξιολόγησης μόνο κατά την ακροαματική διαδικασία</w:t>
      </w:r>
      <w:r w:rsidR="00EE6587">
        <w:rPr>
          <w:rFonts w:ascii="Arial" w:hAnsi="Arial" w:cs="Arial"/>
          <w:bCs/>
          <w:sz w:val="28"/>
          <w:szCs w:val="28"/>
        </w:rPr>
        <w:t xml:space="preserve">, αποτυγχάνοντας να συνεκτιμήσει το γεγονός της έκδοσης απόφασης εναντίον της εταιρείας (λόγος έφεσης 2).  Τέλος, ότι η πρωτόδικη απόφαση ήταν αναιτιολόγητη ή όχι επαρκώς αιτιολογημένη (λόγος έφεσης 3).    </w:t>
      </w:r>
    </w:p>
    <w:p w14:paraId="796870FA" w14:textId="77777777" w:rsidR="00EC18F2" w:rsidRDefault="00EC18F2" w:rsidP="00BE672F">
      <w:pPr>
        <w:spacing w:after="0" w:line="480" w:lineRule="auto"/>
        <w:ind w:firstLine="270"/>
        <w:jc w:val="both"/>
        <w:rPr>
          <w:rFonts w:ascii="Arial" w:hAnsi="Arial" w:cs="Arial"/>
          <w:bCs/>
          <w:sz w:val="28"/>
          <w:szCs w:val="28"/>
        </w:rPr>
      </w:pPr>
    </w:p>
    <w:p w14:paraId="2C33723C" w14:textId="5062671D" w:rsidR="003853A2" w:rsidRDefault="00EC18F2" w:rsidP="003853A2">
      <w:pPr>
        <w:spacing w:after="0" w:line="480" w:lineRule="auto"/>
        <w:ind w:firstLine="270"/>
        <w:jc w:val="both"/>
        <w:rPr>
          <w:rFonts w:ascii="Arial" w:hAnsi="Arial" w:cs="Arial"/>
          <w:bCs/>
          <w:sz w:val="28"/>
          <w:szCs w:val="28"/>
        </w:rPr>
      </w:pPr>
      <w:r>
        <w:rPr>
          <w:rFonts w:ascii="Arial" w:hAnsi="Arial" w:cs="Arial"/>
          <w:bCs/>
          <w:sz w:val="28"/>
          <w:szCs w:val="28"/>
        </w:rPr>
        <w:t xml:space="preserve">Οι Εφεσείοντες μας παρέπεμψαν στην απόφαση της μειοψηφίας στην </w:t>
      </w:r>
      <w:proofErr w:type="spellStart"/>
      <w:r w:rsidR="00C67872" w:rsidRPr="00C67872">
        <w:rPr>
          <w:rFonts w:ascii="Arial" w:hAnsi="Arial" w:cs="Arial"/>
          <w:b/>
          <w:i/>
          <w:iCs/>
          <w:sz w:val="28"/>
          <w:szCs w:val="28"/>
        </w:rPr>
        <w:t>Βαττής</w:t>
      </w:r>
      <w:proofErr w:type="spellEnd"/>
      <w:r w:rsidR="00C67872" w:rsidRPr="00C67872">
        <w:rPr>
          <w:rFonts w:ascii="Arial" w:hAnsi="Arial" w:cs="Arial"/>
          <w:b/>
          <w:i/>
          <w:iCs/>
          <w:sz w:val="28"/>
          <w:szCs w:val="28"/>
        </w:rPr>
        <w:t xml:space="preserve"> ν. Αυξεντίου κ.ά.</w:t>
      </w:r>
      <w:r w:rsidR="00AC55D2">
        <w:rPr>
          <w:rFonts w:ascii="Arial" w:hAnsi="Arial" w:cs="Arial"/>
          <w:b/>
          <w:i/>
          <w:iCs/>
          <w:sz w:val="28"/>
          <w:szCs w:val="28"/>
        </w:rPr>
        <w:t xml:space="preserve"> (Αρ.1)</w:t>
      </w:r>
      <w:r w:rsidR="00C67872" w:rsidRPr="00C67872">
        <w:rPr>
          <w:rFonts w:ascii="Arial" w:hAnsi="Arial" w:cs="Arial"/>
          <w:b/>
          <w:i/>
          <w:iCs/>
          <w:sz w:val="28"/>
          <w:szCs w:val="28"/>
        </w:rPr>
        <w:t xml:space="preserve"> (2014) 1(</w:t>
      </w:r>
      <w:r w:rsidR="009B31B3">
        <w:rPr>
          <w:rFonts w:ascii="Arial" w:hAnsi="Arial" w:cs="Arial"/>
          <w:b/>
          <w:i/>
          <w:iCs/>
          <w:sz w:val="28"/>
          <w:szCs w:val="28"/>
        </w:rPr>
        <w:t>Α</w:t>
      </w:r>
      <w:r w:rsidR="00C67872" w:rsidRPr="00C67872">
        <w:rPr>
          <w:rFonts w:ascii="Arial" w:hAnsi="Arial" w:cs="Arial"/>
          <w:b/>
          <w:i/>
          <w:iCs/>
          <w:sz w:val="28"/>
          <w:szCs w:val="28"/>
        </w:rPr>
        <w:t>) Α.Α.Δ. 68</w:t>
      </w:r>
      <w:r w:rsidR="00C67872">
        <w:rPr>
          <w:rFonts w:ascii="Arial" w:hAnsi="Arial" w:cs="Arial"/>
          <w:bCs/>
          <w:sz w:val="28"/>
          <w:szCs w:val="28"/>
        </w:rPr>
        <w:t xml:space="preserve">, </w:t>
      </w:r>
      <w:r w:rsidR="004B66C7">
        <w:rPr>
          <w:rFonts w:ascii="Arial" w:hAnsi="Arial" w:cs="Arial"/>
          <w:bCs/>
          <w:sz w:val="28"/>
          <w:szCs w:val="28"/>
        </w:rPr>
        <w:t>84-5</w:t>
      </w:r>
      <w:r w:rsidR="00C67872">
        <w:rPr>
          <w:rFonts w:ascii="Arial" w:hAnsi="Arial" w:cs="Arial"/>
          <w:bCs/>
          <w:sz w:val="28"/>
          <w:szCs w:val="28"/>
        </w:rPr>
        <w:t>, όπου αναφέρθηκε ότι:</w:t>
      </w:r>
    </w:p>
    <w:p w14:paraId="2ADE2FB6" w14:textId="77777777" w:rsidR="003853A2" w:rsidRDefault="003853A2" w:rsidP="003853A2">
      <w:pPr>
        <w:spacing w:after="0" w:line="240" w:lineRule="auto"/>
        <w:ind w:left="450"/>
        <w:jc w:val="both"/>
        <w:rPr>
          <w:rFonts w:ascii="Arial" w:hAnsi="Arial" w:cs="Arial"/>
          <w:color w:val="000000"/>
          <w:spacing w:val="-4"/>
          <w:sz w:val="28"/>
          <w:szCs w:val="28"/>
        </w:rPr>
      </w:pPr>
    </w:p>
    <w:p w14:paraId="6B456D24" w14:textId="6BE40115" w:rsidR="003853A2" w:rsidRDefault="003853A2" w:rsidP="003853A2">
      <w:pPr>
        <w:spacing w:after="0" w:line="240" w:lineRule="auto"/>
        <w:ind w:left="450"/>
        <w:jc w:val="both"/>
        <w:rPr>
          <w:rFonts w:ascii="Arial" w:hAnsi="Arial" w:cs="Arial"/>
          <w:color w:val="000000"/>
          <w:spacing w:val="-4"/>
          <w:sz w:val="28"/>
          <w:szCs w:val="28"/>
        </w:rPr>
      </w:pPr>
      <w:r>
        <w:rPr>
          <w:rFonts w:ascii="Arial" w:hAnsi="Arial" w:cs="Arial"/>
          <w:color w:val="000000"/>
          <w:spacing w:val="-4"/>
          <w:sz w:val="28"/>
          <w:szCs w:val="28"/>
        </w:rPr>
        <w:t>«</w:t>
      </w:r>
      <w:r w:rsidRPr="003853A2">
        <w:rPr>
          <w:rFonts w:ascii="Arial" w:hAnsi="Arial" w:cs="Arial"/>
          <w:color w:val="000000"/>
          <w:spacing w:val="-4"/>
          <w:sz w:val="28"/>
          <w:szCs w:val="28"/>
        </w:rPr>
        <w:t xml:space="preserve">Έπεται ότι η χρήση της φράσης «αλληλεγγύως και/ή κεχωρισμένως» δεν ήταν απλώς μια λεκτική ή θεωρητική προσέγγιση στο ζήτημα της συνυπευθυνότητας, αυτής αποτελούσας απλώς ένα διακοσμητικό στοιχείο στο καταληκτικό </w:t>
      </w:r>
      <w:r w:rsidRPr="003853A2">
        <w:rPr>
          <w:rFonts w:ascii="Arial" w:hAnsi="Arial" w:cs="Arial"/>
          <w:color w:val="000000"/>
          <w:spacing w:val="-4"/>
          <w:sz w:val="28"/>
          <w:szCs w:val="28"/>
        </w:rPr>
        <w:lastRenderedPageBreak/>
        <w:t xml:space="preserve">αιτητικό, άνευ σημασίας, όπως ουσιαστικά επιχειρηματολογεί ο εφεσείων, αλλά είχε καταλυτική υπόσταση στα πραγματικά και ταυτόχρονα εναλλακτικά σενάρια υπευθυνότητας ή συνυπευθυνότητας που ο εφεσείων έθεσε στο δικόγραφο του. Επιδίωκε την απόδοση ευθύνης είτε και στους δύο εφεσίβλητους, είτε σε ένα εξ αυτών, με σκοπό την έκδοση υπέρ του απόφασης, εφόσον αυτό ήταν τελικώς το μόνο, υπενθυμίζεται, ζητούμενο με συμφωνημένο το ποσό αποζημίωσης, αλλά και με δεδομένο ότι δεν ήταν ο ίδιος υπεύθυνος με οποιοδήποτε τρόπο για το δυστύχημα. Το ζήτημα της ευθύνης αφορούσε κατ' </w:t>
      </w:r>
      <w:proofErr w:type="spellStart"/>
      <w:r w:rsidRPr="003853A2">
        <w:rPr>
          <w:rFonts w:ascii="Arial" w:hAnsi="Arial" w:cs="Arial"/>
          <w:color w:val="000000"/>
          <w:spacing w:val="-4"/>
          <w:sz w:val="28"/>
          <w:szCs w:val="28"/>
        </w:rPr>
        <w:t>ουσίαν</w:t>
      </w:r>
      <w:proofErr w:type="spellEnd"/>
      <w:r w:rsidRPr="003853A2">
        <w:rPr>
          <w:rFonts w:ascii="Arial" w:hAnsi="Arial" w:cs="Arial"/>
          <w:color w:val="000000"/>
          <w:spacing w:val="-4"/>
          <w:sz w:val="28"/>
          <w:szCs w:val="28"/>
        </w:rPr>
        <w:t xml:space="preserve"> δύο εφεσίβλητους ως </w:t>
      </w:r>
      <w:proofErr w:type="spellStart"/>
      <w:r w:rsidRPr="003853A2">
        <w:rPr>
          <w:rFonts w:ascii="Arial" w:hAnsi="Arial" w:cs="Arial"/>
          <w:color w:val="000000"/>
          <w:spacing w:val="-4"/>
          <w:sz w:val="28"/>
          <w:szCs w:val="28"/>
        </w:rPr>
        <w:t>συνεναγόμενους</w:t>
      </w:r>
      <w:proofErr w:type="spellEnd"/>
      <w:r w:rsidRPr="003853A2">
        <w:rPr>
          <w:rFonts w:ascii="Arial" w:hAnsi="Arial" w:cs="Arial"/>
          <w:color w:val="000000"/>
          <w:spacing w:val="-4"/>
          <w:sz w:val="28"/>
          <w:szCs w:val="28"/>
        </w:rPr>
        <w:t xml:space="preserve"> και το τυχόν μεταξύ τους και έναντι του εφεσείοντος, ποσοστό ευθύνης. Τον εφεσείοντα δεν τον απασχολούσε τόσο ο διαμοιρασμός της ευθύνης, όσο η επίλυση του επιδίκου θέματος της όποιας ευθύνης προς όφελος του.</w:t>
      </w:r>
    </w:p>
    <w:p w14:paraId="2CEF9BEC" w14:textId="77777777" w:rsidR="003853A2" w:rsidRPr="003853A2" w:rsidRDefault="003853A2" w:rsidP="003853A2">
      <w:pPr>
        <w:spacing w:after="0" w:line="240" w:lineRule="auto"/>
        <w:ind w:left="450"/>
        <w:jc w:val="both"/>
        <w:rPr>
          <w:rFonts w:ascii="Arial" w:hAnsi="Arial" w:cs="Arial"/>
          <w:bCs/>
          <w:sz w:val="28"/>
          <w:szCs w:val="28"/>
        </w:rPr>
      </w:pPr>
    </w:p>
    <w:p w14:paraId="37D27886" w14:textId="504E7CB2" w:rsidR="00AD5255" w:rsidRDefault="005A4BC2" w:rsidP="005A4BC2">
      <w:pPr>
        <w:spacing w:after="0" w:line="240" w:lineRule="auto"/>
        <w:ind w:left="450"/>
        <w:jc w:val="both"/>
        <w:rPr>
          <w:rFonts w:ascii="Arial" w:hAnsi="Arial" w:cs="Arial"/>
          <w:color w:val="000000"/>
          <w:spacing w:val="-3"/>
          <w:sz w:val="28"/>
          <w:szCs w:val="28"/>
        </w:rPr>
      </w:pPr>
      <w:r w:rsidRPr="005A4BC2">
        <w:rPr>
          <w:rFonts w:ascii="Arial" w:hAnsi="Arial" w:cs="Arial"/>
          <w:color w:val="000000"/>
          <w:spacing w:val="-3"/>
          <w:sz w:val="28"/>
          <w:szCs w:val="28"/>
        </w:rPr>
        <w:t>Με την απόφαση που εκδόθηκε εναντίον του εφεσίβλητου 2, ο εφεσείων όπως προώθησε την υπόθεση του ικανοποιήθηκε πλήρως και δεν παραμένει οτιδήποτε προς έφεση. Διαφορετική προσέγγιση θα καθιστούσε το επίρρημα «κεχωρισμένως» άνευ σημασίας, ενώ αντίθετα η έκθεση του στη δικογραφημένη αξίωση έδιδε το στίγμα, αλλά και την εναλλακτική επιλογή, της χωριστής ευθύνης.</w:t>
      </w:r>
      <w:r w:rsidR="001B5DE1">
        <w:rPr>
          <w:rFonts w:ascii="Arial" w:hAnsi="Arial" w:cs="Arial"/>
          <w:color w:val="000000"/>
          <w:spacing w:val="-3"/>
          <w:sz w:val="28"/>
          <w:szCs w:val="28"/>
        </w:rPr>
        <w:t xml:space="preserve"> </w:t>
      </w:r>
      <w:r w:rsidRPr="005A4BC2">
        <w:rPr>
          <w:rFonts w:ascii="Arial" w:hAnsi="Arial" w:cs="Arial"/>
          <w:color w:val="000000"/>
          <w:spacing w:val="-3"/>
          <w:sz w:val="28"/>
          <w:szCs w:val="28"/>
        </w:rPr>
        <w:t xml:space="preserve"> Κυρίως, όμως, θα καθιστούσε τον συμπλεκτικό σύνδεσμο «και» και το διαζευκτικό σύνδεσμό «ή» άνευ σημασίας. Και εδώ είναι ουσιαστικά η έμφαση στη φράση «αλληλεγγύως και/ή κεχωρισμένως», παρά στα επιρρήματα που χρησιμοποιούνται. Η θεραπεία («</w:t>
      </w:r>
      <w:proofErr w:type="spellStart"/>
      <w:r w:rsidRPr="005A4BC2">
        <w:rPr>
          <w:rFonts w:ascii="Arial" w:hAnsi="Arial" w:cs="Arial"/>
          <w:color w:val="000000"/>
          <w:spacing w:val="-3"/>
          <w:sz w:val="28"/>
          <w:szCs w:val="28"/>
        </w:rPr>
        <w:t>relief</w:t>
      </w:r>
      <w:proofErr w:type="spellEnd"/>
      <w:r w:rsidRPr="005A4BC2">
        <w:rPr>
          <w:rFonts w:ascii="Arial" w:hAnsi="Arial" w:cs="Arial"/>
          <w:color w:val="000000"/>
          <w:spacing w:val="-3"/>
          <w:sz w:val="28"/>
          <w:szCs w:val="28"/>
        </w:rPr>
        <w:t xml:space="preserve">»), που απαντάται στο τέλος ενός κλητηρίου εντάλματος ή της έκθεσης απαίτησης, αποτελεί ουσιώδες μέρος της δικογραφίας. Παραπέμπει και ταυτόχρονα προειδοποιεί τον εναγόμενο αφενός  ως προς τη θεραπεία που επιζητείται απ' αυτόν στη βάση βέβαια των </w:t>
      </w:r>
      <w:proofErr w:type="spellStart"/>
      <w:r w:rsidRPr="005A4BC2">
        <w:rPr>
          <w:rFonts w:ascii="Arial" w:hAnsi="Arial" w:cs="Arial"/>
          <w:color w:val="000000"/>
          <w:spacing w:val="-3"/>
          <w:sz w:val="28"/>
          <w:szCs w:val="28"/>
        </w:rPr>
        <w:t>προηγηθέντων</w:t>
      </w:r>
      <w:proofErr w:type="spellEnd"/>
      <w:r w:rsidRPr="005A4BC2">
        <w:rPr>
          <w:rFonts w:ascii="Arial" w:hAnsi="Arial" w:cs="Arial"/>
          <w:color w:val="000000"/>
          <w:spacing w:val="-3"/>
          <w:sz w:val="28"/>
          <w:szCs w:val="28"/>
        </w:rPr>
        <w:t xml:space="preserve"> λεπτομερειών και αφετέρου καθορίζει την ιδιότητα με την οποία αυτός ενάγεται, (δέστε</w:t>
      </w:r>
      <w:r w:rsidR="001B5DE1">
        <w:rPr>
          <w:rFonts w:ascii="Arial" w:hAnsi="Arial" w:cs="Arial"/>
          <w:color w:val="000000"/>
          <w:spacing w:val="-3"/>
          <w:sz w:val="28"/>
          <w:szCs w:val="28"/>
        </w:rPr>
        <w:t xml:space="preserve"> </w:t>
      </w:r>
      <w:proofErr w:type="spellStart"/>
      <w:r w:rsidRPr="005A4BC2">
        <w:rPr>
          <w:rFonts w:ascii="Arial" w:hAnsi="Arial" w:cs="Arial"/>
          <w:color w:val="000000"/>
          <w:spacing w:val="-3"/>
          <w:sz w:val="28"/>
          <w:szCs w:val="28"/>
        </w:rPr>
        <w:t>Odgers</w:t>
      </w:r>
      <w:proofErr w:type="spellEnd"/>
      <w:r w:rsidRPr="005A4BC2">
        <w:rPr>
          <w:rFonts w:ascii="Arial" w:hAnsi="Arial" w:cs="Arial"/>
          <w:color w:val="000000"/>
          <w:spacing w:val="-3"/>
          <w:sz w:val="28"/>
          <w:szCs w:val="28"/>
        </w:rPr>
        <w:t xml:space="preserve">' Principles of </w:t>
      </w:r>
      <w:proofErr w:type="spellStart"/>
      <w:r w:rsidRPr="005A4BC2">
        <w:rPr>
          <w:rFonts w:ascii="Arial" w:hAnsi="Arial" w:cs="Arial"/>
          <w:color w:val="000000"/>
          <w:spacing w:val="-3"/>
          <w:sz w:val="28"/>
          <w:szCs w:val="28"/>
        </w:rPr>
        <w:t>Pleading</w:t>
      </w:r>
      <w:proofErr w:type="spellEnd"/>
      <w:r w:rsidRPr="005A4BC2">
        <w:rPr>
          <w:rFonts w:ascii="Arial" w:hAnsi="Arial" w:cs="Arial"/>
          <w:color w:val="000000"/>
          <w:spacing w:val="-3"/>
          <w:sz w:val="28"/>
          <w:szCs w:val="28"/>
        </w:rPr>
        <w:t xml:space="preserve"> and Practice 21</w:t>
      </w:r>
      <w:r w:rsidRPr="005A4BC2">
        <w:rPr>
          <w:rFonts w:ascii="Arial" w:hAnsi="Arial" w:cs="Arial"/>
          <w:color w:val="000000"/>
          <w:spacing w:val="-2"/>
          <w:sz w:val="28"/>
          <w:szCs w:val="28"/>
          <w:vertAlign w:val="superscript"/>
        </w:rPr>
        <w:t>η</w:t>
      </w:r>
      <w:r w:rsidR="001B5DE1">
        <w:rPr>
          <w:rFonts w:ascii="Arial" w:hAnsi="Arial" w:cs="Arial"/>
          <w:color w:val="000000"/>
          <w:spacing w:val="-3"/>
          <w:sz w:val="28"/>
          <w:szCs w:val="28"/>
        </w:rPr>
        <w:t xml:space="preserve"> </w:t>
      </w:r>
      <w:proofErr w:type="spellStart"/>
      <w:r w:rsidRPr="005A4BC2">
        <w:rPr>
          <w:rFonts w:ascii="Arial" w:hAnsi="Arial" w:cs="Arial"/>
          <w:color w:val="000000"/>
          <w:spacing w:val="-3"/>
          <w:sz w:val="28"/>
          <w:szCs w:val="28"/>
        </w:rPr>
        <w:t>έκδ</w:t>
      </w:r>
      <w:proofErr w:type="spellEnd"/>
      <w:r w:rsidRPr="005A4BC2">
        <w:rPr>
          <w:rFonts w:ascii="Arial" w:hAnsi="Arial" w:cs="Arial"/>
          <w:color w:val="000000"/>
          <w:spacing w:val="-3"/>
          <w:sz w:val="28"/>
          <w:szCs w:val="28"/>
        </w:rPr>
        <w:t xml:space="preserve">. σελ. 42-43, 165-169 και τα πρότυπα </w:t>
      </w:r>
      <w:proofErr w:type="spellStart"/>
      <w:r w:rsidRPr="005A4BC2">
        <w:rPr>
          <w:rFonts w:ascii="Arial" w:hAnsi="Arial" w:cs="Arial"/>
          <w:color w:val="000000"/>
          <w:spacing w:val="-3"/>
          <w:sz w:val="28"/>
          <w:szCs w:val="28"/>
        </w:rPr>
        <w:t>αρ</w:t>
      </w:r>
      <w:proofErr w:type="spellEnd"/>
      <w:r w:rsidRPr="005A4BC2">
        <w:rPr>
          <w:rFonts w:ascii="Arial" w:hAnsi="Arial" w:cs="Arial"/>
          <w:color w:val="000000"/>
          <w:spacing w:val="-3"/>
          <w:sz w:val="28"/>
          <w:szCs w:val="28"/>
        </w:rPr>
        <w:t>. 6, 18, 35 κ.α.).</w:t>
      </w:r>
      <w:r w:rsidR="001B5DE1">
        <w:rPr>
          <w:rFonts w:ascii="Arial" w:hAnsi="Arial" w:cs="Arial"/>
          <w:color w:val="000000"/>
          <w:spacing w:val="-3"/>
          <w:sz w:val="28"/>
          <w:szCs w:val="28"/>
        </w:rPr>
        <w:t xml:space="preserve"> </w:t>
      </w:r>
      <w:r w:rsidRPr="005A4BC2">
        <w:rPr>
          <w:rFonts w:ascii="Arial" w:hAnsi="Arial" w:cs="Arial"/>
          <w:color w:val="000000"/>
          <w:spacing w:val="-3"/>
          <w:sz w:val="28"/>
          <w:szCs w:val="28"/>
        </w:rPr>
        <w:t xml:space="preserve"> Η </w:t>
      </w:r>
      <w:proofErr w:type="spellStart"/>
      <w:r w:rsidRPr="005A4BC2">
        <w:rPr>
          <w:rFonts w:ascii="Arial" w:hAnsi="Arial" w:cs="Arial"/>
          <w:color w:val="000000"/>
          <w:spacing w:val="-3"/>
          <w:sz w:val="28"/>
          <w:szCs w:val="28"/>
        </w:rPr>
        <w:t>δικογραφηθείσα</w:t>
      </w:r>
      <w:proofErr w:type="spellEnd"/>
      <w:r w:rsidRPr="005A4BC2">
        <w:rPr>
          <w:rFonts w:ascii="Arial" w:hAnsi="Arial" w:cs="Arial"/>
          <w:color w:val="000000"/>
          <w:spacing w:val="-3"/>
          <w:sz w:val="28"/>
          <w:szCs w:val="28"/>
        </w:rPr>
        <w:t xml:space="preserve"> θεραπεία δεν ήταν του τύπου «αλληλεγγύως και κεχωρισμένως» («</w:t>
      </w:r>
      <w:proofErr w:type="spellStart"/>
      <w:r w:rsidRPr="005A4BC2">
        <w:rPr>
          <w:rFonts w:ascii="Arial" w:hAnsi="Arial" w:cs="Arial"/>
          <w:color w:val="000000"/>
          <w:spacing w:val="-3"/>
          <w:sz w:val="28"/>
          <w:szCs w:val="28"/>
        </w:rPr>
        <w:t>jointly</w:t>
      </w:r>
      <w:proofErr w:type="spellEnd"/>
      <w:r w:rsidRPr="005A4BC2">
        <w:rPr>
          <w:rFonts w:ascii="Arial" w:hAnsi="Arial" w:cs="Arial"/>
          <w:color w:val="000000"/>
          <w:spacing w:val="-3"/>
          <w:sz w:val="28"/>
          <w:szCs w:val="28"/>
        </w:rPr>
        <w:t xml:space="preserve"> and </w:t>
      </w:r>
      <w:proofErr w:type="spellStart"/>
      <w:r w:rsidRPr="005A4BC2">
        <w:rPr>
          <w:rFonts w:ascii="Arial" w:hAnsi="Arial" w:cs="Arial"/>
          <w:color w:val="000000"/>
          <w:spacing w:val="-3"/>
          <w:sz w:val="28"/>
          <w:szCs w:val="28"/>
        </w:rPr>
        <w:t>severally</w:t>
      </w:r>
      <w:proofErr w:type="spellEnd"/>
      <w:r w:rsidRPr="005A4BC2">
        <w:rPr>
          <w:rFonts w:ascii="Arial" w:hAnsi="Arial" w:cs="Arial"/>
          <w:color w:val="000000"/>
          <w:spacing w:val="-3"/>
          <w:sz w:val="28"/>
          <w:szCs w:val="28"/>
        </w:rPr>
        <w:t>»). Η διάζευξη «ή» έχει καταλυτική σημασία.</w:t>
      </w:r>
      <w:r>
        <w:rPr>
          <w:rFonts w:ascii="Arial" w:hAnsi="Arial" w:cs="Arial"/>
          <w:color w:val="000000"/>
          <w:spacing w:val="-3"/>
          <w:sz w:val="28"/>
          <w:szCs w:val="28"/>
        </w:rPr>
        <w:t>»</w:t>
      </w:r>
    </w:p>
    <w:p w14:paraId="11A04AF3" w14:textId="77777777" w:rsidR="00EE6587" w:rsidRPr="005A4BC2" w:rsidRDefault="00EE6587" w:rsidP="005A4BC2">
      <w:pPr>
        <w:spacing w:after="0" w:line="240" w:lineRule="auto"/>
        <w:ind w:left="450"/>
        <w:jc w:val="both"/>
        <w:rPr>
          <w:rFonts w:ascii="Arial" w:hAnsi="Arial" w:cs="Arial"/>
          <w:color w:val="000000"/>
          <w:spacing w:val="-3"/>
          <w:sz w:val="28"/>
          <w:szCs w:val="28"/>
        </w:rPr>
      </w:pPr>
    </w:p>
    <w:p w14:paraId="42F3517B" w14:textId="77777777" w:rsidR="00EE6587" w:rsidRDefault="00EE6587" w:rsidP="00BE672F">
      <w:pPr>
        <w:spacing w:after="0" w:line="480" w:lineRule="auto"/>
        <w:ind w:firstLine="270"/>
        <w:jc w:val="both"/>
        <w:rPr>
          <w:rFonts w:ascii="Arial" w:hAnsi="Arial" w:cs="Arial"/>
          <w:bCs/>
          <w:sz w:val="28"/>
          <w:szCs w:val="28"/>
        </w:rPr>
      </w:pPr>
    </w:p>
    <w:p w14:paraId="15B12B9B" w14:textId="0568FD43" w:rsidR="00AD5255" w:rsidRDefault="00AD5255" w:rsidP="00BE672F">
      <w:pPr>
        <w:spacing w:after="0" w:line="480" w:lineRule="auto"/>
        <w:ind w:firstLine="270"/>
        <w:jc w:val="both"/>
        <w:rPr>
          <w:rFonts w:ascii="Arial" w:hAnsi="Arial" w:cs="Arial"/>
          <w:bCs/>
          <w:sz w:val="28"/>
          <w:szCs w:val="28"/>
        </w:rPr>
      </w:pPr>
      <w:r>
        <w:rPr>
          <w:rFonts w:ascii="Arial" w:hAnsi="Arial" w:cs="Arial"/>
          <w:bCs/>
          <w:sz w:val="28"/>
          <w:szCs w:val="28"/>
        </w:rPr>
        <w:t>Ουσιαστικά οι Εφεσείοντες θεωρούν ότι «</w:t>
      </w:r>
      <w:r>
        <w:rPr>
          <w:rFonts w:ascii="Arial" w:hAnsi="Arial" w:cs="Arial"/>
          <w:bCs/>
          <w:i/>
          <w:iCs/>
          <w:sz w:val="28"/>
          <w:szCs w:val="28"/>
        </w:rPr>
        <w:t>αλληλέγγυα και/ή κεχωρισμένα</w:t>
      </w:r>
      <w:r>
        <w:rPr>
          <w:rFonts w:ascii="Arial" w:hAnsi="Arial" w:cs="Arial"/>
          <w:bCs/>
          <w:sz w:val="28"/>
          <w:szCs w:val="28"/>
        </w:rPr>
        <w:t>», που χρησιμοποίησαν οι Εφεσίβλητοι είναι το ίδιο με</w:t>
      </w:r>
      <w:r w:rsidRPr="00AD5255">
        <w:rPr>
          <w:rFonts w:ascii="Arial" w:hAnsi="Arial" w:cs="Arial"/>
          <w:bCs/>
          <w:sz w:val="28"/>
          <w:szCs w:val="28"/>
        </w:rPr>
        <w:t xml:space="preserve"> </w:t>
      </w:r>
      <w:r>
        <w:rPr>
          <w:rFonts w:ascii="Arial" w:hAnsi="Arial" w:cs="Arial"/>
          <w:bCs/>
          <w:sz w:val="28"/>
          <w:szCs w:val="28"/>
        </w:rPr>
        <w:lastRenderedPageBreak/>
        <w:t>«</w:t>
      </w:r>
      <w:r>
        <w:rPr>
          <w:rFonts w:ascii="Arial" w:hAnsi="Arial" w:cs="Arial"/>
          <w:bCs/>
          <w:i/>
          <w:iCs/>
          <w:sz w:val="28"/>
          <w:szCs w:val="28"/>
        </w:rPr>
        <w:t>αλληλέγγυα ή κεχωρισμένα</w:t>
      </w:r>
      <w:r>
        <w:rPr>
          <w:rFonts w:ascii="Arial" w:hAnsi="Arial" w:cs="Arial"/>
          <w:bCs/>
          <w:sz w:val="28"/>
          <w:szCs w:val="28"/>
        </w:rPr>
        <w:t>»</w:t>
      </w:r>
      <w:r w:rsidR="00017E3E">
        <w:rPr>
          <w:rFonts w:ascii="Arial" w:hAnsi="Arial" w:cs="Arial"/>
          <w:bCs/>
          <w:sz w:val="28"/>
          <w:szCs w:val="28"/>
        </w:rPr>
        <w:t xml:space="preserve">.  </w:t>
      </w:r>
      <w:r w:rsidR="003853A2">
        <w:rPr>
          <w:rFonts w:ascii="Arial" w:hAnsi="Arial" w:cs="Arial"/>
          <w:bCs/>
          <w:sz w:val="28"/>
          <w:szCs w:val="28"/>
        </w:rPr>
        <w:t>Με όλο το σεβασμό, δεν μπορούμε να συμφωνήσουμε με τα όσα αναφέρθηκαν στην απόφαση της μειοψηφίας στην</w:t>
      </w:r>
      <w:r w:rsidR="003853A2" w:rsidRPr="003853A2">
        <w:rPr>
          <w:rFonts w:ascii="Arial" w:hAnsi="Arial" w:cs="Arial"/>
          <w:b/>
          <w:i/>
          <w:iCs/>
          <w:sz w:val="28"/>
          <w:szCs w:val="28"/>
        </w:rPr>
        <w:t xml:space="preserve"> </w:t>
      </w:r>
      <w:proofErr w:type="spellStart"/>
      <w:r w:rsidR="003853A2">
        <w:rPr>
          <w:rFonts w:ascii="Arial" w:hAnsi="Arial" w:cs="Arial"/>
          <w:b/>
          <w:i/>
          <w:iCs/>
          <w:sz w:val="28"/>
          <w:szCs w:val="28"/>
        </w:rPr>
        <w:t>Βαττής</w:t>
      </w:r>
      <w:proofErr w:type="spellEnd"/>
      <w:r w:rsidR="00E33BA9">
        <w:rPr>
          <w:rFonts w:ascii="Arial" w:hAnsi="Arial" w:cs="Arial"/>
          <w:bCs/>
          <w:sz w:val="28"/>
          <w:szCs w:val="28"/>
        </w:rPr>
        <w:t>, ούτε με την επιχειρηματολογία των Εφεσείοντων</w:t>
      </w:r>
      <w:r w:rsidR="003853A2">
        <w:rPr>
          <w:rFonts w:ascii="Arial" w:hAnsi="Arial" w:cs="Arial"/>
          <w:bCs/>
          <w:i/>
          <w:iCs/>
          <w:sz w:val="28"/>
          <w:szCs w:val="28"/>
        </w:rPr>
        <w:t>.</w:t>
      </w:r>
      <w:r w:rsidR="003853A2">
        <w:rPr>
          <w:rFonts w:ascii="Arial" w:hAnsi="Arial" w:cs="Arial"/>
          <w:bCs/>
          <w:sz w:val="28"/>
          <w:szCs w:val="28"/>
        </w:rPr>
        <w:t xml:space="preserve">  </w:t>
      </w:r>
      <w:r w:rsidR="00017E3E">
        <w:rPr>
          <w:rFonts w:ascii="Arial" w:hAnsi="Arial" w:cs="Arial"/>
          <w:bCs/>
          <w:sz w:val="28"/>
          <w:szCs w:val="28"/>
        </w:rPr>
        <w:t>Η ερμηνεία που δίνουμε στο</w:t>
      </w:r>
      <w:r w:rsidR="00017E3E" w:rsidRPr="00017E3E">
        <w:rPr>
          <w:rFonts w:ascii="Arial" w:hAnsi="Arial" w:cs="Arial"/>
          <w:bCs/>
          <w:sz w:val="28"/>
          <w:szCs w:val="28"/>
        </w:rPr>
        <w:t xml:space="preserve"> </w:t>
      </w:r>
      <w:r w:rsidR="00017E3E">
        <w:rPr>
          <w:rFonts w:ascii="Arial" w:hAnsi="Arial" w:cs="Arial"/>
          <w:bCs/>
          <w:sz w:val="28"/>
          <w:szCs w:val="28"/>
        </w:rPr>
        <w:t>«</w:t>
      </w:r>
      <w:r w:rsidR="00017E3E">
        <w:rPr>
          <w:rFonts w:ascii="Arial" w:hAnsi="Arial" w:cs="Arial"/>
          <w:bCs/>
          <w:i/>
          <w:iCs/>
          <w:sz w:val="28"/>
          <w:szCs w:val="28"/>
        </w:rPr>
        <w:t>αλληλέγγυα και/ή κεχωρισμένα</w:t>
      </w:r>
      <w:r w:rsidR="00017E3E">
        <w:rPr>
          <w:rFonts w:ascii="Arial" w:hAnsi="Arial" w:cs="Arial"/>
          <w:bCs/>
          <w:sz w:val="28"/>
          <w:szCs w:val="28"/>
        </w:rPr>
        <w:t>» είναι ότι καλύπτει δύο περιπτώσεις.  Τόσο</w:t>
      </w:r>
      <w:r w:rsidR="00017E3E" w:rsidRPr="00017E3E">
        <w:rPr>
          <w:rFonts w:ascii="Arial" w:hAnsi="Arial" w:cs="Arial"/>
          <w:bCs/>
          <w:sz w:val="28"/>
          <w:szCs w:val="28"/>
        </w:rPr>
        <w:t xml:space="preserve"> </w:t>
      </w:r>
      <w:r w:rsidR="00017E3E">
        <w:rPr>
          <w:rFonts w:ascii="Arial" w:hAnsi="Arial" w:cs="Arial"/>
          <w:bCs/>
          <w:sz w:val="28"/>
          <w:szCs w:val="28"/>
        </w:rPr>
        <w:t>«</w:t>
      </w:r>
      <w:r w:rsidR="00017E3E">
        <w:rPr>
          <w:rFonts w:ascii="Arial" w:hAnsi="Arial" w:cs="Arial"/>
          <w:bCs/>
          <w:i/>
          <w:iCs/>
          <w:sz w:val="28"/>
          <w:szCs w:val="28"/>
        </w:rPr>
        <w:t xml:space="preserve">αλληλέγγυα </w:t>
      </w:r>
      <w:r w:rsidR="008E7753">
        <w:rPr>
          <w:rFonts w:ascii="Arial" w:hAnsi="Arial" w:cs="Arial"/>
          <w:bCs/>
          <w:i/>
          <w:iCs/>
          <w:sz w:val="28"/>
          <w:szCs w:val="28"/>
        </w:rPr>
        <w:t xml:space="preserve">ή </w:t>
      </w:r>
      <w:r w:rsidR="00017E3E">
        <w:rPr>
          <w:rFonts w:ascii="Arial" w:hAnsi="Arial" w:cs="Arial"/>
          <w:bCs/>
          <w:i/>
          <w:iCs/>
          <w:sz w:val="28"/>
          <w:szCs w:val="28"/>
        </w:rPr>
        <w:t>κεχωρισμένα</w:t>
      </w:r>
      <w:r w:rsidR="00017E3E">
        <w:rPr>
          <w:rFonts w:ascii="Arial" w:hAnsi="Arial" w:cs="Arial"/>
          <w:bCs/>
          <w:sz w:val="28"/>
          <w:szCs w:val="28"/>
        </w:rPr>
        <w:t>»</w:t>
      </w:r>
      <w:r w:rsidR="00017E3E" w:rsidRPr="00017E3E">
        <w:rPr>
          <w:rFonts w:ascii="Arial" w:hAnsi="Arial" w:cs="Arial"/>
          <w:bCs/>
          <w:sz w:val="28"/>
          <w:szCs w:val="28"/>
        </w:rPr>
        <w:t xml:space="preserve"> </w:t>
      </w:r>
      <w:r w:rsidR="00017E3E">
        <w:rPr>
          <w:rFonts w:ascii="Arial" w:hAnsi="Arial" w:cs="Arial"/>
          <w:bCs/>
          <w:sz w:val="28"/>
          <w:szCs w:val="28"/>
        </w:rPr>
        <w:t>όσο και «</w:t>
      </w:r>
      <w:r w:rsidR="00017E3E">
        <w:rPr>
          <w:rFonts w:ascii="Arial" w:hAnsi="Arial" w:cs="Arial"/>
          <w:bCs/>
          <w:i/>
          <w:iCs/>
          <w:sz w:val="28"/>
          <w:szCs w:val="28"/>
        </w:rPr>
        <w:t xml:space="preserve">αλληλέγγυα </w:t>
      </w:r>
      <w:r w:rsidR="008E7753">
        <w:rPr>
          <w:rFonts w:ascii="Arial" w:hAnsi="Arial" w:cs="Arial"/>
          <w:bCs/>
          <w:i/>
          <w:iCs/>
          <w:sz w:val="28"/>
          <w:szCs w:val="28"/>
        </w:rPr>
        <w:t xml:space="preserve">και </w:t>
      </w:r>
      <w:r w:rsidR="00017E3E">
        <w:rPr>
          <w:rFonts w:ascii="Arial" w:hAnsi="Arial" w:cs="Arial"/>
          <w:bCs/>
          <w:i/>
          <w:iCs/>
          <w:sz w:val="28"/>
          <w:szCs w:val="28"/>
        </w:rPr>
        <w:t>κεχωρισμένα</w:t>
      </w:r>
      <w:r w:rsidR="00017E3E">
        <w:rPr>
          <w:rFonts w:ascii="Arial" w:hAnsi="Arial" w:cs="Arial"/>
          <w:bCs/>
          <w:sz w:val="28"/>
          <w:szCs w:val="28"/>
        </w:rPr>
        <w:t>».</w:t>
      </w:r>
      <w:r w:rsidR="00AC55D2">
        <w:rPr>
          <w:rFonts w:ascii="Arial" w:hAnsi="Arial" w:cs="Arial"/>
          <w:bCs/>
          <w:sz w:val="28"/>
          <w:szCs w:val="28"/>
        </w:rPr>
        <w:t xml:space="preserve">  Η </w:t>
      </w:r>
      <w:r w:rsidR="001B5DE1">
        <w:rPr>
          <w:rFonts w:ascii="Arial" w:hAnsi="Arial" w:cs="Arial"/>
          <w:bCs/>
          <w:sz w:val="28"/>
          <w:szCs w:val="28"/>
        </w:rPr>
        <w:t>χρήση</w:t>
      </w:r>
      <w:r w:rsidR="00AC55D2">
        <w:rPr>
          <w:rFonts w:ascii="Arial" w:hAnsi="Arial" w:cs="Arial"/>
          <w:bCs/>
          <w:sz w:val="28"/>
          <w:szCs w:val="28"/>
        </w:rPr>
        <w:t xml:space="preserve"> του συμβόλου γραφής «</w:t>
      </w:r>
      <w:r w:rsidR="00AC55D2" w:rsidRPr="00AC55D2">
        <w:rPr>
          <w:rFonts w:ascii="Arial" w:hAnsi="Arial" w:cs="Arial"/>
          <w:bCs/>
          <w:i/>
          <w:iCs/>
          <w:sz w:val="28"/>
          <w:szCs w:val="28"/>
        </w:rPr>
        <w:t>/</w:t>
      </w:r>
      <w:r w:rsidR="00AC55D2">
        <w:rPr>
          <w:rFonts w:ascii="Arial" w:hAnsi="Arial" w:cs="Arial"/>
          <w:bCs/>
          <w:sz w:val="28"/>
          <w:szCs w:val="28"/>
        </w:rPr>
        <w:t>» μεταξύ των λέξεων «</w:t>
      </w:r>
      <w:r w:rsidR="00AC55D2" w:rsidRPr="00AC55D2">
        <w:rPr>
          <w:rFonts w:ascii="Arial" w:hAnsi="Arial" w:cs="Arial"/>
          <w:bCs/>
          <w:i/>
          <w:iCs/>
          <w:sz w:val="28"/>
          <w:szCs w:val="28"/>
        </w:rPr>
        <w:t>και</w:t>
      </w:r>
      <w:r w:rsidR="00AC55D2">
        <w:rPr>
          <w:rFonts w:ascii="Arial" w:hAnsi="Arial" w:cs="Arial"/>
          <w:bCs/>
          <w:sz w:val="28"/>
          <w:szCs w:val="28"/>
        </w:rPr>
        <w:t>» και «</w:t>
      </w:r>
      <w:r w:rsidR="00AC55D2" w:rsidRPr="00AC55D2">
        <w:rPr>
          <w:rFonts w:ascii="Arial" w:hAnsi="Arial" w:cs="Arial"/>
          <w:bCs/>
          <w:i/>
          <w:iCs/>
          <w:sz w:val="28"/>
          <w:szCs w:val="28"/>
        </w:rPr>
        <w:t>ή</w:t>
      </w:r>
      <w:r w:rsidR="00AC55D2">
        <w:rPr>
          <w:rFonts w:ascii="Arial" w:hAnsi="Arial" w:cs="Arial"/>
          <w:bCs/>
          <w:sz w:val="28"/>
          <w:szCs w:val="28"/>
        </w:rPr>
        <w:t>» σημαίνει ότι οι Εφεσίβλητοι επικαλούνταν αμφότερες τις λέξεις</w:t>
      </w:r>
      <w:r w:rsidR="008E7753">
        <w:rPr>
          <w:rFonts w:ascii="Arial" w:hAnsi="Arial" w:cs="Arial"/>
          <w:bCs/>
          <w:sz w:val="28"/>
          <w:szCs w:val="28"/>
        </w:rPr>
        <w:t>, την προηγηθείσα</w:t>
      </w:r>
      <w:r w:rsidR="00AC55D2">
        <w:rPr>
          <w:rFonts w:ascii="Arial" w:hAnsi="Arial" w:cs="Arial"/>
          <w:bCs/>
          <w:sz w:val="28"/>
          <w:szCs w:val="28"/>
        </w:rPr>
        <w:t xml:space="preserve"> </w:t>
      </w:r>
      <w:r w:rsidR="008E7753">
        <w:rPr>
          <w:rFonts w:ascii="Arial" w:hAnsi="Arial" w:cs="Arial"/>
          <w:bCs/>
          <w:sz w:val="28"/>
          <w:szCs w:val="28"/>
        </w:rPr>
        <w:t xml:space="preserve">και την μετέπειτα, </w:t>
      </w:r>
      <w:r w:rsidR="00AC55D2">
        <w:rPr>
          <w:rFonts w:ascii="Arial" w:hAnsi="Arial" w:cs="Arial"/>
          <w:bCs/>
          <w:sz w:val="28"/>
          <w:szCs w:val="28"/>
        </w:rPr>
        <w:t>διαζευκτικά.</w:t>
      </w:r>
    </w:p>
    <w:p w14:paraId="3E478DA8" w14:textId="77777777" w:rsidR="00EC18F2" w:rsidRDefault="00EC18F2" w:rsidP="00BE672F">
      <w:pPr>
        <w:spacing w:after="0" w:line="480" w:lineRule="auto"/>
        <w:ind w:firstLine="270"/>
        <w:jc w:val="both"/>
        <w:rPr>
          <w:rFonts w:ascii="Arial" w:hAnsi="Arial" w:cs="Arial"/>
          <w:bCs/>
          <w:sz w:val="28"/>
          <w:szCs w:val="28"/>
        </w:rPr>
      </w:pPr>
    </w:p>
    <w:p w14:paraId="6F42B2D8" w14:textId="51221951" w:rsidR="00215CA7" w:rsidRDefault="00EC18F2" w:rsidP="00215CA7">
      <w:pPr>
        <w:spacing w:after="0" w:line="480" w:lineRule="auto"/>
        <w:ind w:firstLine="270"/>
        <w:jc w:val="both"/>
        <w:rPr>
          <w:rFonts w:ascii="Arial" w:hAnsi="Arial" w:cs="Arial"/>
          <w:bCs/>
          <w:sz w:val="28"/>
          <w:szCs w:val="28"/>
        </w:rPr>
      </w:pPr>
      <w:r>
        <w:rPr>
          <w:rFonts w:ascii="Arial" w:hAnsi="Arial" w:cs="Arial"/>
          <w:bCs/>
          <w:sz w:val="28"/>
          <w:szCs w:val="28"/>
        </w:rPr>
        <w:t xml:space="preserve">Σε κάθε περίπτωση, η </w:t>
      </w:r>
      <w:r w:rsidR="00E33BA9">
        <w:rPr>
          <w:rFonts w:ascii="Arial" w:hAnsi="Arial" w:cs="Arial"/>
          <w:bCs/>
          <w:sz w:val="28"/>
          <w:szCs w:val="28"/>
        </w:rPr>
        <w:t>διατύπωση</w:t>
      </w:r>
      <w:r>
        <w:rPr>
          <w:rFonts w:ascii="Arial" w:hAnsi="Arial" w:cs="Arial"/>
          <w:bCs/>
          <w:sz w:val="28"/>
          <w:szCs w:val="28"/>
        </w:rPr>
        <w:t xml:space="preserve"> της αξίωσης με τον τρόπο που έγινε στο </w:t>
      </w:r>
      <w:r w:rsidR="008E7753">
        <w:rPr>
          <w:rFonts w:ascii="Arial" w:hAnsi="Arial" w:cs="Arial"/>
          <w:bCs/>
          <w:sz w:val="28"/>
          <w:szCs w:val="28"/>
        </w:rPr>
        <w:t>αιτητικό</w:t>
      </w:r>
      <w:r>
        <w:rPr>
          <w:rFonts w:ascii="Arial" w:hAnsi="Arial" w:cs="Arial"/>
          <w:bCs/>
          <w:sz w:val="28"/>
          <w:szCs w:val="28"/>
        </w:rPr>
        <w:t xml:space="preserve"> της Έκθεσης Απαίτησης, δεν θα μπορούσε να αλλοιώσει την ουσία της απαίτησης όπως προέκυπτε από το σώμα της αγωγής</w:t>
      </w:r>
      <w:r w:rsidR="00CC2364" w:rsidRPr="00CC2364">
        <w:rPr>
          <w:rFonts w:ascii="Arial" w:hAnsi="Arial" w:cs="Arial"/>
          <w:bCs/>
          <w:sz w:val="28"/>
          <w:szCs w:val="28"/>
        </w:rPr>
        <w:t xml:space="preserve"> (</w:t>
      </w:r>
      <w:r w:rsidR="00CC2364" w:rsidRPr="00CC2364">
        <w:rPr>
          <w:rFonts w:ascii="Arial" w:hAnsi="Arial" w:cs="Arial"/>
          <w:b/>
          <w:i/>
          <w:iCs/>
          <w:sz w:val="28"/>
          <w:szCs w:val="28"/>
          <w:lang w:val="en-US"/>
        </w:rPr>
        <w:t>Kennedy</w:t>
      </w:r>
      <w:r w:rsidR="00CC2364" w:rsidRPr="00CC2364">
        <w:rPr>
          <w:rFonts w:ascii="Arial" w:hAnsi="Arial" w:cs="Arial"/>
          <w:b/>
          <w:i/>
          <w:iCs/>
          <w:sz w:val="28"/>
          <w:szCs w:val="28"/>
        </w:rPr>
        <w:t xml:space="preserve"> </w:t>
      </w:r>
      <w:r w:rsidR="00CC2364" w:rsidRPr="00CC2364">
        <w:rPr>
          <w:rFonts w:ascii="Arial" w:hAnsi="Arial" w:cs="Arial"/>
          <w:b/>
          <w:i/>
          <w:iCs/>
          <w:sz w:val="28"/>
          <w:szCs w:val="28"/>
          <w:lang w:val="en-US"/>
        </w:rPr>
        <w:t>Hotels</w:t>
      </w:r>
      <w:r w:rsidR="00CC2364" w:rsidRPr="00CC2364">
        <w:rPr>
          <w:rFonts w:ascii="Arial" w:hAnsi="Arial" w:cs="Arial"/>
          <w:b/>
          <w:i/>
          <w:iCs/>
          <w:sz w:val="28"/>
          <w:szCs w:val="28"/>
        </w:rPr>
        <w:t xml:space="preserve"> </w:t>
      </w:r>
      <w:r w:rsidR="00CC2364" w:rsidRPr="00CC2364">
        <w:rPr>
          <w:rFonts w:ascii="Arial" w:hAnsi="Arial" w:cs="Arial"/>
          <w:b/>
          <w:i/>
          <w:iCs/>
          <w:sz w:val="28"/>
          <w:szCs w:val="28"/>
          <w:lang w:val="en-US"/>
        </w:rPr>
        <w:t>Ltd</w:t>
      </w:r>
      <w:r w:rsidR="00CC2364" w:rsidRPr="00CC2364">
        <w:rPr>
          <w:rFonts w:ascii="Arial" w:hAnsi="Arial" w:cs="Arial"/>
          <w:b/>
          <w:i/>
          <w:iCs/>
          <w:sz w:val="28"/>
          <w:szCs w:val="28"/>
        </w:rPr>
        <w:t xml:space="preserve"> </w:t>
      </w:r>
      <w:r w:rsidR="00CC2364" w:rsidRPr="00CC2364">
        <w:rPr>
          <w:rFonts w:ascii="Arial" w:hAnsi="Arial" w:cs="Arial"/>
          <w:b/>
          <w:i/>
          <w:iCs/>
          <w:sz w:val="28"/>
          <w:szCs w:val="28"/>
          <w:lang w:val="en-US"/>
        </w:rPr>
        <w:t>v</w:t>
      </w:r>
      <w:r w:rsidR="00CC2364" w:rsidRPr="00CC2364">
        <w:rPr>
          <w:rFonts w:ascii="Arial" w:hAnsi="Arial" w:cs="Arial"/>
          <w:b/>
          <w:i/>
          <w:iCs/>
          <w:sz w:val="28"/>
          <w:szCs w:val="28"/>
        </w:rPr>
        <w:t xml:space="preserve">. </w:t>
      </w:r>
      <w:proofErr w:type="spellStart"/>
      <w:r w:rsidR="00CC2364" w:rsidRPr="00CC2364">
        <w:rPr>
          <w:rFonts w:ascii="Arial" w:hAnsi="Arial" w:cs="Arial"/>
          <w:b/>
          <w:i/>
          <w:iCs/>
          <w:sz w:val="28"/>
          <w:szCs w:val="28"/>
          <w:lang w:val="en-US"/>
        </w:rPr>
        <w:t>Indjirdjian</w:t>
      </w:r>
      <w:proofErr w:type="spellEnd"/>
      <w:r w:rsidR="00CC2364" w:rsidRPr="00CC2364">
        <w:rPr>
          <w:rFonts w:ascii="Arial" w:hAnsi="Arial" w:cs="Arial"/>
          <w:b/>
          <w:i/>
          <w:iCs/>
          <w:sz w:val="28"/>
          <w:szCs w:val="28"/>
        </w:rPr>
        <w:t xml:space="preserve"> (1992) 1</w:t>
      </w:r>
      <w:r w:rsidR="008E7753">
        <w:rPr>
          <w:rFonts w:ascii="Arial" w:hAnsi="Arial" w:cs="Arial"/>
          <w:b/>
          <w:i/>
          <w:iCs/>
          <w:sz w:val="28"/>
          <w:szCs w:val="28"/>
        </w:rPr>
        <w:t>(Α)</w:t>
      </w:r>
      <w:r w:rsidR="00CC2364" w:rsidRPr="00CC2364">
        <w:rPr>
          <w:rFonts w:ascii="Arial" w:hAnsi="Arial" w:cs="Arial"/>
          <w:b/>
          <w:i/>
          <w:iCs/>
          <w:sz w:val="28"/>
          <w:szCs w:val="28"/>
        </w:rPr>
        <w:t xml:space="preserve"> </w:t>
      </w:r>
      <w:r w:rsidR="00CC2364" w:rsidRPr="00CC2364">
        <w:rPr>
          <w:rFonts w:ascii="Arial" w:hAnsi="Arial" w:cs="Arial"/>
          <w:b/>
          <w:i/>
          <w:iCs/>
          <w:sz w:val="28"/>
          <w:szCs w:val="28"/>
          <w:lang w:val="en-US"/>
        </w:rPr>
        <w:t>A</w:t>
      </w:r>
      <w:r w:rsidR="00CC2364" w:rsidRPr="00CC2364">
        <w:rPr>
          <w:rFonts w:ascii="Arial" w:hAnsi="Arial" w:cs="Arial"/>
          <w:b/>
          <w:i/>
          <w:iCs/>
          <w:sz w:val="28"/>
          <w:szCs w:val="28"/>
        </w:rPr>
        <w:t>.</w:t>
      </w:r>
      <w:r w:rsidR="00CC2364" w:rsidRPr="00CC2364">
        <w:rPr>
          <w:rFonts w:ascii="Arial" w:hAnsi="Arial" w:cs="Arial"/>
          <w:b/>
          <w:i/>
          <w:iCs/>
          <w:sz w:val="28"/>
          <w:szCs w:val="28"/>
          <w:lang w:val="en-US"/>
        </w:rPr>
        <w:t>A</w:t>
      </w:r>
      <w:r w:rsidR="00CC2364" w:rsidRPr="00CC2364">
        <w:rPr>
          <w:rFonts w:ascii="Arial" w:hAnsi="Arial" w:cs="Arial"/>
          <w:b/>
          <w:i/>
          <w:iCs/>
          <w:sz w:val="28"/>
          <w:szCs w:val="28"/>
        </w:rPr>
        <w:t>.Δ. 400</w:t>
      </w:r>
      <w:r w:rsidR="008E7753">
        <w:rPr>
          <w:rFonts w:ascii="Arial" w:hAnsi="Arial" w:cs="Arial"/>
          <w:bCs/>
          <w:sz w:val="28"/>
          <w:szCs w:val="28"/>
        </w:rPr>
        <w:t>, 407-8</w:t>
      </w:r>
      <w:r w:rsidR="00CC2364">
        <w:rPr>
          <w:rFonts w:ascii="Arial" w:hAnsi="Arial" w:cs="Arial"/>
          <w:bCs/>
          <w:sz w:val="28"/>
          <w:szCs w:val="28"/>
        </w:rPr>
        <w:t>).</w:t>
      </w:r>
      <w:r w:rsidR="00215CA7">
        <w:rPr>
          <w:rFonts w:ascii="Arial" w:hAnsi="Arial" w:cs="Arial"/>
          <w:bCs/>
          <w:sz w:val="28"/>
          <w:szCs w:val="28"/>
        </w:rPr>
        <w:t xml:space="preserve">  </w:t>
      </w:r>
      <w:r w:rsidR="00CC2364">
        <w:rPr>
          <w:rFonts w:ascii="Arial" w:hAnsi="Arial" w:cs="Arial"/>
          <w:bCs/>
          <w:sz w:val="28"/>
          <w:szCs w:val="28"/>
        </w:rPr>
        <w:t xml:space="preserve">Αποδιδόταν ευθύνη και στους δύο, για χωριστές πράξεις ή παραλείψεις που σχετίζονταν με την ειδικότητα τους και τις </w:t>
      </w:r>
      <w:r w:rsidR="008E7753">
        <w:rPr>
          <w:rFonts w:ascii="Arial" w:hAnsi="Arial" w:cs="Arial"/>
          <w:bCs/>
          <w:sz w:val="28"/>
          <w:szCs w:val="28"/>
        </w:rPr>
        <w:t xml:space="preserve">συναφείς </w:t>
      </w:r>
      <w:r w:rsidR="00CC2364">
        <w:rPr>
          <w:rFonts w:ascii="Arial" w:hAnsi="Arial" w:cs="Arial"/>
          <w:bCs/>
          <w:sz w:val="28"/>
          <w:szCs w:val="28"/>
        </w:rPr>
        <w:t>υποχρεώσεις που είχαν αναλάβει έναντι των Εφεσίβλητων.</w:t>
      </w:r>
      <w:r w:rsidR="00215CA7">
        <w:rPr>
          <w:rFonts w:ascii="Arial" w:hAnsi="Arial" w:cs="Arial"/>
          <w:bCs/>
          <w:sz w:val="28"/>
          <w:szCs w:val="28"/>
        </w:rPr>
        <w:t xml:space="preserve">  Στην απόφαση της πλειοψηφίας στη </w:t>
      </w:r>
      <w:proofErr w:type="spellStart"/>
      <w:r w:rsidR="00215CA7">
        <w:rPr>
          <w:rFonts w:ascii="Arial" w:hAnsi="Arial" w:cs="Arial"/>
          <w:b/>
          <w:i/>
          <w:iCs/>
          <w:sz w:val="28"/>
          <w:szCs w:val="28"/>
        </w:rPr>
        <w:t>Βαττής</w:t>
      </w:r>
      <w:proofErr w:type="spellEnd"/>
      <w:r w:rsidR="00215CA7">
        <w:rPr>
          <w:rFonts w:ascii="Arial" w:hAnsi="Arial" w:cs="Arial"/>
          <w:b/>
          <w:i/>
          <w:iCs/>
          <w:sz w:val="28"/>
          <w:szCs w:val="28"/>
        </w:rPr>
        <w:t xml:space="preserve"> </w:t>
      </w:r>
      <w:r w:rsidR="00215CA7">
        <w:rPr>
          <w:rFonts w:ascii="Arial" w:hAnsi="Arial" w:cs="Arial"/>
          <w:bCs/>
          <w:sz w:val="28"/>
          <w:szCs w:val="28"/>
        </w:rPr>
        <w:t>αναφέρθηκε (σελ.76) ότι:</w:t>
      </w:r>
    </w:p>
    <w:p w14:paraId="3A4749BA" w14:textId="77777777" w:rsidR="00215CA7" w:rsidRDefault="00215CA7" w:rsidP="00215CA7">
      <w:pPr>
        <w:spacing w:after="0" w:line="240" w:lineRule="auto"/>
        <w:ind w:left="450"/>
        <w:jc w:val="both"/>
        <w:rPr>
          <w:rFonts w:ascii="Arial" w:hAnsi="Arial" w:cs="Arial"/>
          <w:color w:val="000000"/>
          <w:sz w:val="28"/>
          <w:szCs w:val="28"/>
        </w:rPr>
      </w:pPr>
    </w:p>
    <w:p w14:paraId="19444F83" w14:textId="77BD753B" w:rsidR="00215CA7" w:rsidRDefault="00215CA7" w:rsidP="00215CA7">
      <w:pPr>
        <w:spacing w:after="0" w:line="240" w:lineRule="auto"/>
        <w:ind w:left="450"/>
        <w:jc w:val="both"/>
        <w:rPr>
          <w:rFonts w:ascii="Arial" w:hAnsi="Arial" w:cs="Arial"/>
          <w:color w:val="000000"/>
          <w:sz w:val="28"/>
          <w:szCs w:val="28"/>
        </w:rPr>
      </w:pPr>
      <w:r w:rsidRPr="00215CA7">
        <w:rPr>
          <w:rFonts w:ascii="Arial" w:hAnsi="Arial" w:cs="Arial"/>
          <w:color w:val="000000"/>
          <w:sz w:val="28"/>
          <w:szCs w:val="28"/>
        </w:rPr>
        <w:t xml:space="preserve">«Το γεγονός της διαζευκτικής </w:t>
      </w:r>
      <w:proofErr w:type="spellStart"/>
      <w:r w:rsidRPr="00215CA7">
        <w:rPr>
          <w:rFonts w:ascii="Arial" w:hAnsi="Arial" w:cs="Arial"/>
          <w:color w:val="000000"/>
          <w:sz w:val="28"/>
          <w:szCs w:val="28"/>
        </w:rPr>
        <w:t>δικογράφησης</w:t>
      </w:r>
      <w:proofErr w:type="spellEnd"/>
      <w:r w:rsidRPr="00215CA7">
        <w:rPr>
          <w:rFonts w:ascii="Arial" w:hAnsi="Arial" w:cs="Arial"/>
          <w:color w:val="000000"/>
          <w:sz w:val="28"/>
          <w:szCs w:val="28"/>
        </w:rPr>
        <w:t xml:space="preserve"> στο αιτητικό της αγωγής, δεδομένου ότι ο εφεσείων κατά την ακροαματική </w:t>
      </w:r>
      <w:r w:rsidRPr="00215CA7">
        <w:rPr>
          <w:rFonts w:ascii="Arial" w:hAnsi="Arial" w:cs="Arial"/>
          <w:color w:val="000000"/>
          <w:sz w:val="28"/>
          <w:szCs w:val="28"/>
        </w:rPr>
        <w:lastRenderedPageBreak/>
        <w:t xml:space="preserve">διαδικασία προώθησε την υπόθεσή του στη βάση και της από κοινού ευθύνης των </w:t>
      </w:r>
      <w:proofErr w:type="spellStart"/>
      <w:r w:rsidRPr="00215CA7">
        <w:rPr>
          <w:rFonts w:ascii="Arial" w:hAnsi="Arial" w:cs="Arial"/>
          <w:color w:val="000000"/>
          <w:sz w:val="28"/>
          <w:szCs w:val="28"/>
        </w:rPr>
        <w:t>εφεσιβλήτων</w:t>
      </w:r>
      <w:proofErr w:type="spellEnd"/>
      <w:r w:rsidRPr="00215CA7">
        <w:rPr>
          <w:rFonts w:ascii="Arial" w:hAnsi="Arial" w:cs="Arial"/>
          <w:color w:val="000000"/>
          <w:sz w:val="28"/>
          <w:szCs w:val="28"/>
        </w:rPr>
        <w:t>, δεν καταργεί το δικαίωμα έφεσης. Ο εφεσείων ούτε εγκατέλειψε, ούτε παραιτήθηκε, καθ' οιονδήποτε στάδιο της πρωτόδικης διαδικασίας, τον ισχυρισμό του ότι για το δυστύχημα ευθύνονταν από κοινού οι εφεσίβλητοι. Η επιδίκαση στον εφεσείοντα του συμφωνηθέντος ποσού δεν επηρεάζει το δικαίωμα έφεσής του …».</w:t>
      </w:r>
    </w:p>
    <w:p w14:paraId="5C2A2B9C" w14:textId="77777777" w:rsidR="00215CA7" w:rsidRDefault="00215CA7" w:rsidP="00215CA7">
      <w:pPr>
        <w:spacing w:after="0" w:line="240" w:lineRule="auto"/>
        <w:ind w:left="450"/>
        <w:jc w:val="both"/>
        <w:rPr>
          <w:rFonts w:ascii="Arial" w:hAnsi="Arial" w:cs="Arial"/>
          <w:bCs/>
          <w:sz w:val="28"/>
          <w:szCs w:val="28"/>
        </w:rPr>
      </w:pPr>
    </w:p>
    <w:p w14:paraId="13ED09D3" w14:textId="77777777" w:rsidR="008E7753" w:rsidRDefault="008E7753" w:rsidP="00215CA7">
      <w:pPr>
        <w:spacing w:after="0" w:line="240" w:lineRule="auto"/>
        <w:ind w:left="450"/>
        <w:jc w:val="both"/>
        <w:rPr>
          <w:rFonts w:ascii="Arial" w:hAnsi="Arial" w:cs="Arial"/>
          <w:bCs/>
          <w:sz w:val="28"/>
          <w:szCs w:val="28"/>
        </w:rPr>
      </w:pPr>
    </w:p>
    <w:p w14:paraId="6DC7743D" w14:textId="77777777" w:rsidR="008E7753" w:rsidRPr="00215CA7" w:rsidRDefault="008E7753" w:rsidP="00215CA7">
      <w:pPr>
        <w:spacing w:after="0" w:line="240" w:lineRule="auto"/>
        <w:ind w:left="450"/>
        <w:jc w:val="both"/>
        <w:rPr>
          <w:rFonts w:ascii="Arial" w:hAnsi="Arial" w:cs="Arial"/>
          <w:bCs/>
          <w:sz w:val="28"/>
          <w:szCs w:val="28"/>
        </w:rPr>
      </w:pPr>
    </w:p>
    <w:p w14:paraId="01952EB9" w14:textId="4A1B5A5E" w:rsidR="005C714A" w:rsidRDefault="00E33BA9" w:rsidP="00BE672F">
      <w:pPr>
        <w:spacing w:after="0" w:line="480" w:lineRule="auto"/>
        <w:ind w:firstLine="270"/>
        <w:jc w:val="both"/>
        <w:rPr>
          <w:rFonts w:ascii="Arial" w:hAnsi="Arial" w:cs="Arial"/>
          <w:bCs/>
          <w:sz w:val="28"/>
          <w:szCs w:val="28"/>
        </w:rPr>
      </w:pPr>
      <w:r>
        <w:rPr>
          <w:rFonts w:ascii="Arial" w:hAnsi="Arial" w:cs="Arial"/>
          <w:bCs/>
          <w:sz w:val="28"/>
          <w:szCs w:val="28"/>
        </w:rPr>
        <w:t>Η</w:t>
      </w:r>
      <w:r w:rsidR="00AC55D2">
        <w:rPr>
          <w:rFonts w:ascii="Arial" w:hAnsi="Arial" w:cs="Arial"/>
          <w:bCs/>
          <w:sz w:val="28"/>
          <w:szCs w:val="28"/>
        </w:rPr>
        <w:t xml:space="preserve"> απόδοση ευθύνης στην εταιρεία δεν απάλλασσε του</w:t>
      </w:r>
      <w:r w:rsidR="001B5DE1">
        <w:rPr>
          <w:rFonts w:ascii="Arial" w:hAnsi="Arial" w:cs="Arial"/>
          <w:bCs/>
          <w:sz w:val="28"/>
          <w:szCs w:val="28"/>
        </w:rPr>
        <w:t>ς</w:t>
      </w:r>
      <w:r w:rsidR="00AC55D2">
        <w:rPr>
          <w:rFonts w:ascii="Arial" w:hAnsi="Arial" w:cs="Arial"/>
          <w:bCs/>
          <w:sz w:val="28"/>
          <w:szCs w:val="28"/>
        </w:rPr>
        <w:t xml:space="preserve"> Εφεσείοντες</w:t>
      </w:r>
      <w:r w:rsidR="00215CA7">
        <w:rPr>
          <w:rFonts w:ascii="Arial" w:hAnsi="Arial" w:cs="Arial"/>
          <w:bCs/>
          <w:sz w:val="28"/>
          <w:szCs w:val="28"/>
        </w:rPr>
        <w:t>.</w:t>
      </w:r>
      <w:r w:rsidR="00EE6587">
        <w:rPr>
          <w:rFonts w:ascii="Arial" w:hAnsi="Arial" w:cs="Arial"/>
          <w:bCs/>
          <w:sz w:val="28"/>
          <w:szCs w:val="28"/>
        </w:rPr>
        <w:t xml:space="preserve">  </w:t>
      </w:r>
      <w:r w:rsidR="001B5DE1">
        <w:rPr>
          <w:rFonts w:ascii="Arial" w:hAnsi="Arial" w:cs="Arial"/>
          <w:bCs/>
          <w:sz w:val="28"/>
          <w:szCs w:val="28"/>
        </w:rPr>
        <w:t>Το ίδιο θα συνέβαινε και στην περίπτωση που θα είχε</w:t>
      </w:r>
      <w:r>
        <w:rPr>
          <w:rFonts w:ascii="Arial" w:hAnsi="Arial" w:cs="Arial"/>
          <w:bCs/>
          <w:sz w:val="28"/>
          <w:szCs w:val="28"/>
        </w:rPr>
        <w:t xml:space="preserve"> </w:t>
      </w:r>
      <w:r w:rsidR="00EE6587">
        <w:rPr>
          <w:rFonts w:ascii="Arial" w:hAnsi="Arial" w:cs="Arial"/>
          <w:bCs/>
          <w:sz w:val="28"/>
          <w:szCs w:val="28"/>
        </w:rPr>
        <w:t xml:space="preserve">εκδοθεί απόφαση εναντίον των Εφεσείοντων και η αγωγή </w:t>
      </w:r>
      <w:r w:rsidR="001B5DE1">
        <w:rPr>
          <w:rFonts w:ascii="Arial" w:hAnsi="Arial" w:cs="Arial"/>
          <w:bCs/>
          <w:sz w:val="28"/>
          <w:szCs w:val="28"/>
        </w:rPr>
        <w:t xml:space="preserve">θα </w:t>
      </w:r>
      <w:r w:rsidR="00EE6587">
        <w:rPr>
          <w:rFonts w:ascii="Arial" w:hAnsi="Arial" w:cs="Arial"/>
          <w:bCs/>
          <w:sz w:val="28"/>
          <w:szCs w:val="28"/>
        </w:rPr>
        <w:t>εκκρεμούσε</w:t>
      </w:r>
      <w:r>
        <w:rPr>
          <w:rFonts w:ascii="Arial" w:hAnsi="Arial" w:cs="Arial"/>
          <w:bCs/>
          <w:sz w:val="28"/>
          <w:szCs w:val="28"/>
        </w:rPr>
        <w:t xml:space="preserve"> προς εκδίκαση</w:t>
      </w:r>
      <w:r w:rsidR="00EE6587">
        <w:rPr>
          <w:rFonts w:ascii="Arial" w:hAnsi="Arial" w:cs="Arial"/>
          <w:bCs/>
          <w:sz w:val="28"/>
          <w:szCs w:val="28"/>
        </w:rPr>
        <w:t xml:space="preserve"> εναντίον της εταιρείας.</w:t>
      </w:r>
    </w:p>
    <w:p w14:paraId="6502CC4B" w14:textId="77777777" w:rsidR="00EE6587" w:rsidRDefault="00EE6587" w:rsidP="00BE672F">
      <w:pPr>
        <w:spacing w:after="0" w:line="480" w:lineRule="auto"/>
        <w:ind w:firstLine="270"/>
        <w:jc w:val="both"/>
        <w:rPr>
          <w:rFonts w:ascii="Arial" w:hAnsi="Arial" w:cs="Arial"/>
          <w:bCs/>
          <w:sz w:val="28"/>
          <w:szCs w:val="28"/>
        </w:rPr>
      </w:pPr>
    </w:p>
    <w:p w14:paraId="4AD53C28" w14:textId="5DE293BB" w:rsidR="00EE6587" w:rsidRDefault="00EE6587"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Οι λόγοι έφεσης </w:t>
      </w:r>
      <w:r w:rsidR="00E33BA9">
        <w:rPr>
          <w:rFonts w:ascii="Arial" w:hAnsi="Arial" w:cs="Arial"/>
          <w:bCs/>
          <w:sz w:val="28"/>
          <w:szCs w:val="28"/>
        </w:rPr>
        <w:t>απορρίπτονται</w:t>
      </w:r>
      <w:r>
        <w:rPr>
          <w:rFonts w:ascii="Arial" w:hAnsi="Arial" w:cs="Arial"/>
          <w:bCs/>
          <w:sz w:val="28"/>
          <w:szCs w:val="28"/>
        </w:rPr>
        <w:t xml:space="preserve"> στο σύνολο τους. </w:t>
      </w:r>
    </w:p>
    <w:p w14:paraId="040BDFA6" w14:textId="77777777" w:rsidR="001B5DE1" w:rsidRPr="00994CFC" w:rsidRDefault="001B5DE1" w:rsidP="00BE672F">
      <w:pPr>
        <w:spacing w:after="0" w:line="480" w:lineRule="auto"/>
        <w:ind w:firstLine="270"/>
        <w:jc w:val="both"/>
        <w:rPr>
          <w:rFonts w:ascii="Arial" w:hAnsi="Arial" w:cs="Arial"/>
          <w:bCs/>
          <w:sz w:val="28"/>
          <w:szCs w:val="28"/>
        </w:rPr>
      </w:pPr>
    </w:p>
    <w:p w14:paraId="55665319" w14:textId="36DDE185" w:rsidR="00FE1D2A" w:rsidRDefault="00EE6587" w:rsidP="00BE672F">
      <w:pPr>
        <w:spacing w:after="0" w:line="480" w:lineRule="auto"/>
        <w:ind w:firstLine="270"/>
        <w:jc w:val="both"/>
        <w:rPr>
          <w:rFonts w:ascii="Arial" w:hAnsi="Arial" w:cs="Arial"/>
          <w:bCs/>
          <w:sz w:val="28"/>
          <w:szCs w:val="28"/>
        </w:rPr>
      </w:pPr>
      <w:r>
        <w:rPr>
          <w:rFonts w:ascii="Arial" w:hAnsi="Arial" w:cs="Arial"/>
          <w:bCs/>
          <w:sz w:val="28"/>
          <w:szCs w:val="28"/>
        </w:rPr>
        <w:t>Η έφεση απορρίπτεται.</w:t>
      </w:r>
    </w:p>
    <w:p w14:paraId="127789D1" w14:textId="77777777" w:rsidR="00EE6587" w:rsidRDefault="00EE6587" w:rsidP="00BE672F">
      <w:pPr>
        <w:spacing w:after="0" w:line="480" w:lineRule="auto"/>
        <w:ind w:firstLine="270"/>
        <w:jc w:val="both"/>
        <w:rPr>
          <w:rFonts w:ascii="Arial" w:hAnsi="Arial" w:cs="Arial"/>
          <w:bCs/>
          <w:sz w:val="28"/>
          <w:szCs w:val="28"/>
        </w:rPr>
      </w:pPr>
    </w:p>
    <w:p w14:paraId="7839B5B6" w14:textId="0DE27E93" w:rsidR="00EE6587" w:rsidRPr="00994CFC" w:rsidRDefault="00EE6587" w:rsidP="00BE672F">
      <w:pPr>
        <w:spacing w:after="0" w:line="480" w:lineRule="auto"/>
        <w:ind w:firstLine="270"/>
        <w:jc w:val="both"/>
        <w:rPr>
          <w:rFonts w:ascii="Arial" w:hAnsi="Arial" w:cs="Arial"/>
          <w:bCs/>
          <w:sz w:val="28"/>
          <w:szCs w:val="28"/>
        </w:rPr>
      </w:pPr>
      <w:r>
        <w:rPr>
          <w:rFonts w:ascii="Arial" w:hAnsi="Arial" w:cs="Arial"/>
          <w:bCs/>
          <w:sz w:val="28"/>
          <w:szCs w:val="28"/>
        </w:rPr>
        <w:t>€2.000 έξοδα της έφεσης, πλέον Φ.Π.Α. αν υπάρχει, επιδικάζονται υπέρ των Εφεσίβλητων και εναντίον των Εφεσείοντων.</w:t>
      </w:r>
    </w:p>
    <w:p w14:paraId="7F4C8B37" w14:textId="77777777" w:rsidR="00E33BA9" w:rsidRDefault="00E33BA9" w:rsidP="0058578D">
      <w:pPr>
        <w:spacing w:after="0" w:line="480" w:lineRule="auto"/>
        <w:ind w:left="3600" w:firstLine="720"/>
        <w:jc w:val="both"/>
        <w:rPr>
          <w:rFonts w:ascii="Arial" w:hAnsi="Arial" w:cs="Arial"/>
          <w:sz w:val="28"/>
          <w:szCs w:val="28"/>
        </w:rPr>
      </w:pPr>
    </w:p>
    <w:p w14:paraId="040DF24E" w14:textId="29DEC365" w:rsidR="00875559" w:rsidRDefault="005D5B10" w:rsidP="001B5DE1">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61FABEEC" w14:textId="77777777" w:rsidR="007E06D0" w:rsidRDefault="007E06D0" w:rsidP="001B5DE1">
      <w:pPr>
        <w:spacing w:after="0" w:line="360" w:lineRule="auto"/>
        <w:jc w:val="both"/>
        <w:rPr>
          <w:rFonts w:ascii="Arial" w:hAnsi="Arial" w:cs="Arial"/>
          <w:sz w:val="28"/>
          <w:szCs w:val="28"/>
        </w:rPr>
      </w:pPr>
    </w:p>
    <w:p w14:paraId="1DCFC73A" w14:textId="45A1D80D" w:rsidR="007E06D0" w:rsidRDefault="005D5B10" w:rsidP="001B5DE1">
      <w:pPr>
        <w:spacing w:after="0" w:line="36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1B5DE1">
      <w:pPr>
        <w:spacing w:after="0" w:line="360" w:lineRule="auto"/>
        <w:jc w:val="both"/>
        <w:rPr>
          <w:rFonts w:ascii="Arial" w:hAnsi="Arial" w:cs="Arial"/>
          <w:bCs/>
          <w:sz w:val="28"/>
          <w:szCs w:val="28"/>
        </w:rPr>
      </w:pPr>
    </w:p>
    <w:p w14:paraId="3217747A" w14:textId="1666B121" w:rsidR="003C05EC" w:rsidRPr="004B2CA4" w:rsidRDefault="00BE672F" w:rsidP="001B5DE1">
      <w:pPr>
        <w:spacing w:after="0" w:line="36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E0E3" w14:textId="77777777" w:rsidR="00805F7F" w:rsidRDefault="00805F7F" w:rsidP="002B5669">
      <w:pPr>
        <w:spacing w:after="0" w:line="240" w:lineRule="auto"/>
      </w:pPr>
      <w:r>
        <w:separator/>
      </w:r>
    </w:p>
  </w:endnote>
  <w:endnote w:type="continuationSeparator" w:id="0">
    <w:p w14:paraId="01617A0B" w14:textId="77777777" w:rsidR="00805F7F" w:rsidRDefault="00805F7F"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0F7E" w14:textId="77777777" w:rsidR="00805F7F" w:rsidRDefault="00805F7F" w:rsidP="002B5669">
      <w:pPr>
        <w:spacing w:after="0" w:line="240" w:lineRule="auto"/>
      </w:pPr>
      <w:r>
        <w:separator/>
      </w:r>
    </w:p>
  </w:footnote>
  <w:footnote w:type="continuationSeparator" w:id="0">
    <w:p w14:paraId="531F406C" w14:textId="77777777" w:rsidR="00805F7F" w:rsidRDefault="00805F7F"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0B83080A" w:rsidR="002B5669" w:rsidRDefault="002B5669">
        <w:pPr>
          <w:pStyle w:val="Header"/>
          <w:jc w:val="center"/>
        </w:pPr>
        <w:r>
          <w:fldChar w:fldCharType="begin"/>
        </w:r>
        <w:r>
          <w:instrText xml:space="preserve"> PAGE   \* MERGEFORMAT </w:instrText>
        </w:r>
        <w:r>
          <w:fldChar w:fldCharType="separate"/>
        </w:r>
        <w:r w:rsidR="006D65E1">
          <w:rPr>
            <w:noProof/>
          </w:rPr>
          <w:t>7</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A900DF"/>
    <w:multiLevelType w:val="hybridMultilevel"/>
    <w:tmpl w:val="CDAA89C6"/>
    <w:lvl w:ilvl="0" w:tplc="A0DC7F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73504039">
    <w:abstractNumId w:val="0"/>
  </w:num>
  <w:num w:numId="2" w16cid:durableId="2030328942">
    <w:abstractNumId w:val="1"/>
  </w:num>
  <w:num w:numId="3" w16cid:durableId="965815183">
    <w:abstractNumId w:val="2"/>
  </w:num>
  <w:num w:numId="4" w16cid:durableId="113325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00064"/>
    <w:rsid w:val="00010CDF"/>
    <w:rsid w:val="000150CF"/>
    <w:rsid w:val="00017E3E"/>
    <w:rsid w:val="0002240F"/>
    <w:rsid w:val="000310D0"/>
    <w:rsid w:val="00036BDA"/>
    <w:rsid w:val="000455D2"/>
    <w:rsid w:val="000518E5"/>
    <w:rsid w:val="000610A6"/>
    <w:rsid w:val="0006472C"/>
    <w:rsid w:val="000647C3"/>
    <w:rsid w:val="00064A1C"/>
    <w:rsid w:val="0007272C"/>
    <w:rsid w:val="0009172A"/>
    <w:rsid w:val="000A0215"/>
    <w:rsid w:val="000A59C1"/>
    <w:rsid w:val="000C45DA"/>
    <w:rsid w:val="000C54BB"/>
    <w:rsid w:val="000C60D4"/>
    <w:rsid w:val="000C6E80"/>
    <w:rsid w:val="000D605E"/>
    <w:rsid w:val="000F498C"/>
    <w:rsid w:val="00113EFD"/>
    <w:rsid w:val="00126354"/>
    <w:rsid w:val="001264E9"/>
    <w:rsid w:val="00134F0E"/>
    <w:rsid w:val="001418CD"/>
    <w:rsid w:val="0014256A"/>
    <w:rsid w:val="001653E1"/>
    <w:rsid w:val="00174C89"/>
    <w:rsid w:val="00174E6C"/>
    <w:rsid w:val="0018648A"/>
    <w:rsid w:val="00186703"/>
    <w:rsid w:val="001A3835"/>
    <w:rsid w:val="001B3F76"/>
    <w:rsid w:val="001B5DE1"/>
    <w:rsid w:val="001C1638"/>
    <w:rsid w:val="00207FCC"/>
    <w:rsid w:val="002144A0"/>
    <w:rsid w:val="00215CA7"/>
    <w:rsid w:val="0022075D"/>
    <w:rsid w:val="00222580"/>
    <w:rsid w:val="0022279C"/>
    <w:rsid w:val="002276ED"/>
    <w:rsid w:val="00243ECA"/>
    <w:rsid w:val="002515CF"/>
    <w:rsid w:val="00252B1D"/>
    <w:rsid w:val="0025723F"/>
    <w:rsid w:val="002600A6"/>
    <w:rsid w:val="0028094C"/>
    <w:rsid w:val="00283EAF"/>
    <w:rsid w:val="00284728"/>
    <w:rsid w:val="002A6B11"/>
    <w:rsid w:val="002B1B80"/>
    <w:rsid w:val="002B507A"/>
    <w:rsid w:val="002B5669"/>
    <w:rsid w:val="002C450D"/>
    <w:rsid w:val="002D24DB"/>
    <w:rsid w:val="002D7D9D"/>
    <w:rsid w:val="002E284C"/>
    <w:rsid w:val="002E4C39"/>
    <w:rsid w:val="002F623D"/>
    <w:rsid w:val="00304B59"/>
    <w:rsid w:val="00327D3D"/>
    <w:rsid w:val="003335F0"/>
    <w:rsid w:val="00341CEC"/>
    <w:rsid w:val="00344793"/>
    <w:rsid w:val="00352E73"/>
    <w:rsid w:val="00374FEF"/>
    <w:rsid w:val="003853A2"/>
    <w:rsid w:val="003912DE"/>
    <w:rsid w:val="00394E21"/>
    <w:rsid w:val="00395E33"/>
    <w:rsid w:val="003A672D"/>
    <w:rsid w:val="003B0B98"/>
    <w:rsid w:val="003C05EC"/>
    <w:rsid w:val="003C3C88"/>
    <w:rsid w:val="003C6956"/>
    <w:rsid w:val="003D105D"/>
    <w:rsid w:val="003E60E5"/>
    <w:rsid w:val="0040727A"/>
    <w:rsid w:val="00414D35"/>
    <w:rsid w:val="00422376"/>
    <w:rsid w:val="0042348E"/>
    <w:rsid w:val="00424F96"/>
    <w:rsid w:val="00425B73"/>
    <w:rsid w:val="00435431"/>
    <w:rsid w:val="0044159B"/>
    <w:rsid w:val="0044185B"/>
    <w:rsid w:val="00444EAE"/>
    <w:rsid w:val="0045462A"/>
    <w:rsid w:val="00476C3A"/>
    <w:rsid w:val="00476FC1"/>
    <w:rsid w:val="004831CC"/>
    <w:rsid w:val="004877EA"/>
    <w:rsid w:val="004A5E2A"/>
    <w:rsid w:val="004A7CD3"/>
    <w:rsid w:val="004B0487"/>
    <w:rsid w:val="004B0683"/>
    <w:rsid w:val="004B2CA4"/>
    <w:rsid w:val="004B66C7"/>
    <w:rsid w:val="004C2D49"/>
    <w:rsid w:val="004D78CE"/>
    <w:rsid w:val="004E0447"/>
    <w:rsid w:val="004E2C34"/>
    <w:rsid w:val="004E3F17"/>
    <w:rsid w:val="005075B9"/>
    <w:rsid w:val="00513283"/>
    <w:rsid w:val="00513E1A"/>
    <w:rsid w:val="00515D8F"/>
    <w:rsid w:val="0051717F"/>
    <w:rsid w:val="00524E1B"/>
    <w:rsid w:val="0053019D"/>
    <w:rsid w:val="00530E19"/>
    <w:rsid w:val="00533934"/>
    <w:rsid w:val="00540DFC"/>
    <w:rsid w:val="00541120"/>
    <w:rsid w:val="005560B3"/>
    <w:rsid w:val="005625EF"/>
    <w:rsid w:val="00562980"/>
    <w:rsid w:val="00585213"/>
    <w:rsid w:val="0058578D"/>
    <w:rsid w:val="00586879"/>
    <w:rsid w:val="005A4BC2"/>
    <w:rsid w:val="005A52F4"/>
    <w:rsid w:val="005B1DC7"/>
    <w:rsid w:val="005B1E8E"/>
    <w:rsid w:val="005C1550"/>
    <w:rsid w:val="005C714A"/>
    <w:rsid w:val="005C799D"/>
    <w:rsid w:val="005D19BF"/>
    <w:rsid w:val="005D1C2B"/>
    <w:rsid w:val="005D34FE"/>
    <w:rsid w:val="005D5B10"/>
    <w:rsid w:val="005F5D43"/>
    <w:rsid w:val="00600A30"/>
    <w:rsid w:val="006137F8"/>
    <w:rsid w:val="00631AA3"/>
    <w:rsid w:val="00632A7D"/>
    <w:rsid w:val="00634886"/>
    <w:rsid w:val="00636A86"/>
    <w:rsid w:val="00640E9D"/>
    <w:rsid w:val="00643D29"/>
    <w:rsid w:val="00644666"/>
    <w:rsid w:val="0065575E"/>
    <w:rsid w:val="006564D9"/>
    <w:rsid w:val="0065671E"/>
    <w:rsid w:val="006679A0"/>
    <w:rsid w:val="00667AB3"/>
    <w:rsid w:val="006711A7"/>
    <w:rsid w:val="00683D6B"/>
    <w:rsid w:val="006921B6"/>
    <w:rsid w:val="00695ED0"/>
    <w:rsid w:val="006A142D"/>
    <w:rsid w:val="006C05DF"/>
    <w:rsid w:val="006C18A8"/>
    <w:rsid w:val="006D07FC"/>
    <w:rsid w:val="006D65E1"/>
    <w:rsid w:val="006E060D"/>
    <w:rsid w:val="006E1FBA"/>
    <w:rsid w:val="006E7647"/>
    <w:rsid w:val="006E7760"/>
    <w:rsid w:val="00715C85"/>
    <w:rsid w:val="007270A5"/>
    <w:rsid w:val="00733A27"/>
    <w:rsid w:val="007371EE"/>
    <w:rsid w:val="0074493D"/>
    <w:rsid w:val="00752ACE"/>
    <w:rsid w:val="00760817"/>
    <w:rsid w:val="00761F23"/>
    <w:rsid w:val="00765B73"/>
    <w:rsid w:val="0077307D"/>
    <w:rsid w:val="00775494"/>
    <w:rsid w:val="00777EA2"/>
    <w:rsid w:val="007809E4"/>
    <w:rsid w:val="0078242A"/>
    <w:rsid w:val="007925E4"/>
    <w:rsid w:val="007938DF"/>
    <w:rsid w:val="00795BF1"/>
    <w:rsid w:val="007B452A"/>
    <w:rsid w:val="007B568E"/>
    <w:rsid w:val="007C1F21"/>
    <w:rsid w:val="007D7FE1"/>
    <w:rsid w:val="007E053D"/>
    <w:rsid w:val="007E06D0"/>
    <w:rsid w:val="007E4C33"/>
    <w:rsid w:val="007F085D"/>
    <w:rsid w:val="007F4B51"/>
    <w:rsid w:val="00805F7F"/>
    <w:rsid w:val="00815DEE"/>
    <w:rsid w:val="008300F2"/>
    <w:rsid w:val="00875559"/>
    <w:rsid w:val="00875755"/>
    <w:rsid w:val="00881CE4"/>
    <w:rsid w:val="00882EE8"/>
    <w:rsid w:val="0088665D"/>
    <w:rsid w:val="0089309C"/>
    <w:rsid w:val="008A16CB"/>
    <w:rsid w:val="008A5E8B"/>
    <w:rsid w:val="008C0E49"/>
    <w:rsid w:val="008E7753"/>
    <w:rsid w:val="009074BC"/>
    <w:rsid w:val="00910828"/>
    <w:rsid w:val="00923606"/>
    <w:rsid w:val="00923629"/>
    <w:rsid w:val="0094496E"/>
    <w:rsid w:val="009524C3"/>
    <w:rsid w:val="00955BC8"/>
    <w:rsid w:val="00963EBA"/>
    <w:rsid w:val="00973FC4"/>
    <w:rsid w:val="00980609"/>
    <w:rsid w:val="00986AB2"/>
    <w:rsid w:val="00994CFC"/>
    <w:rsid w:val="009978B9"/>
    <w:rsid w:val="009A33B8"/>
    <w:rsid w:val="009A5F8C"/>
    <w:rsid w:val="009B31B3"/>
    <w:rsid w:val="009B630F"/>
    <w:rsid w:val="009B7C61"/>
    <w:rsid w:val="009C30ED"/>
    <w:rsid w:val="009C6755"/>
    <w:rsid w:val="009D3497"/>
    <w:rsid w:val="009D4C83"/>
    <w:rsid w:val="009E00A0"/>
    <w:rsid w:val="009F1A5E"/>
    <w:rsid w:val="009F1AE8"/>
    <w:rsid w:val="00A06727"/>
    <w:rsid w:val="00A06789"/>
    <w:rsid w:val="00A229DF"/>
    <w:rsid w:val="00A27D3E"/>
    <w:rsid w:val="00A359F0"/>
    <w:rsid w:val="00A36648"/>
    <w:rsid w:val="00A4691F"/>
    <w:rsid w:val="00A5026E"/>
    <w:rsid w:val="00A51182"/>
    <w:rsid w:val="00A66D6A"/>
    <w:rsid w:val="00A90C8A"/>
    <w:rsid w:val="00AC47FA"/>
    <w:rsid w:val="00AC55D2"/>
    <w:rsid w:val="00AC7F8F"/>
    <w:rsid w:val="00AD5255"/>
    <w:rsid w:val="00AE0CB2"/>
    <w:rsid w:val="00AF5365"/>
    <w:rsid w:val="00AF593F"/>
    <w:rsid w:val="00B13871"/>
    <w:rsid w:val="00B31046"/>
    <w:rsid w:val="00B3481A"/>
    <w:rsid w:val="00B41BE3"/>
    <w:rsid w:val="00B42CFC"/>
    <w:rsid w:val="00B62693"/>
    <w:rsid w:val="00B70743"/>
    <w:rsid w:val="00B8500E"/>
    <w:rsid w:val="00B90C86"/>
    <w:rsid w:val="00B965F6"/>
    <w:rsid w:val="00BB5D0A"/>
    <w:rsid w:val="00BB6A2E"/>
    <w:rsid w:val="00BB7686"/>
    <w:rsid w:val="00BC6C81"/>
    <w:rsid w:val="00BD2C9D"/>
    <w:rsid w:val="00BD7C70"/>
    <w:rsid w:val="00BE0855"/>
    <w:rsid w:val="00BE672F"/>
    <w:rsid w:val="00BF189D"/>
    <w:rsid w:val="00BF4DF4"/>
    <w:rsid w:val="00BF5F6F"/>
    <w:rsid w:val="00C02AA8"/>
    <w:rsid w:val="00C035CF"/>
    <w:rsid w:val="00C13438"/>
    <w:rsid w:val="00C13FB3"/>
    <w:rsid w:val="00C214D9"/>
    <w:rsid w:val="00C249C4"/>
    <w:rsid w:val="00C3056D"/>
    <w:rsid w:val="00C3105E"/>
    <w:rsid w:val="00C3157A"/>
    <w:rsid w:val="00C458E2"/>
    <w:rsid w:val="00C46320"/>
    <w:rsid w:val="00C505C7"/>
    <w:rsid w:val="00C651A3"/>
    <w:rsid w:val="00C67872"/>
    <w:rsid w:val="00C72C91"/>
    <w:rsid w:val="00C7390E"/>
    <w:rsid w:val="00C8610A"/>
    <w:rsid w:val="00C86DBB"/>
    <w:rsid w:val="00CA2140"/>
    <w:rsid w:val="00CB184F"/>
    <w:rsid w:val="00CB2129"/>
    <w:rsid w:val="00CC2131"/>
    <w:rsid w:val="00CC2364"/>
    <w:rsid w:val="00CD7EBA"/>
    <w:rsid w:val="00CE6FAA"/>
    <w:rsid w:val="00CF1609"/>
    <w:rsid w:val="00D12B32"/>
    <w:rsid w:val="00D16F99"/>
    <w:rsid w:val="00D2101D"/>
    <w:rsid w:val="00D25DDC"/>
    <w:rsid w:val="00D340FA"/>
    <w:rsid w:val="00D37213"/>
    <w:rsid w:val="00D57BEE"/>
    <w:rsid w:val="00D6704A"/>
    <w:rsid w:val="00D7231D"/>
    <w:rsid w:val="00D94B6F"/>
    <w:rsid w:val="00D96314"/>
    <w:rsid w:val="00DC3740"/>
    <w:rsid w:val="00DC75C0"/>
    <w:rsid w:val="00DD1F7E"/>
    <w:rsid w:val="00DD22EA"/>
    <w:rsid w:val="00DD2DDF"/>
    <w:rsid w:val="00DD4253"/>
    <w:rsid w:val="00E040EF"/>
    <w:rsid w:val="00E06E74"/>
    <w:rsid w:val="00E338F1"/>
    <w:rsid w:val="00E33BA9"/>
    <w:rsid w:val="00E460A3"/>
    <w:rsid w:val="00E537CA"/>
    <w:rsid w:val="00E546A0"/>
    <w:rsid w:val="00E64BA8"/>
    <w:rsid w:val="00E65896"/>
    <w:rsid w:val="00E76008"/>
    <w:rsid w:val="00E904B9"/>
    <w:rsid w:val="00E975D1"/>
    <w:rsid w:val="00EB76EF"/>
    <w:rsid w:val="00EC18F2"/>
    <w:rsid w:val="00ED539E"/>
    <w:rsid w:val="00ED66B5"/>
    <w:rsid w:val="00EE371B"/>
    <w:rsid w:val="00EE6587"/>
    <w:rsid w:val="00F0532B"/>
    <w:rsid w:val="00F10BA6"/>
    <w:rsid w:val="00F25B9C"/>
    <w:rsid w:val="00F5282C"/>
    <w:rsid w:val="00F62D33"/>
    <w:rsid w:val="00F743AF"/>
    <w:rsid w:val="00F75794"/>
    <w:rsid w:val="00F8654F"/>
    <w:rsid w:val="00FA470A"/>
    <w:rsid w:val="00FC16FB"/>
    <w:rsid w:val="00FE1D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B44A-E294-4DB1-A59D-AB4E81D4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3</cp:revision>
  <cp:lastPrinted>2023-09-15T06:11:00Z</cp:lastPrinted>
  <dcterms:created xsi:type="dcterms:W3CDTF">2023-10-03T04:49:00Z</dcterms:created>
  <dcterms:modified xsi:type="dcterms:W3CDTF">2023-10-03T04:50:00Z</dcterms:modified>
</cp:coreProperties>
</file>